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33" w:rsidRPr="004618D5" w:rsidRDefault="00B55B33" w:rsidP="004618D5">
      <w:pPr>
        <w:jc w:val="center"/>
        <w:rPr>
          <w:lang w:val="fr-FR"/>
        </w:rPr>
      </w:pPr>
      <w:bookmarkStart w:id="0" w:name="_GoBack"/>
      <w:bookmarkEnd w:id="0"/>
    </w:p>
    <w:p w:rsidR="00B55B33" w:rsidRPr="004618D5" w:rsidRDefault="00B55B33" w:rsidP="004618D5">
      <w:pPr>
        <w:jc w:val="center"/>
        <w:rPr>
          <w:lang w:val="fr-FR"/>
        </w:rPr>
      </w:pPr>
    </w:p>
    <w:p w:rsidR="00E77CB3" w:rsidRPr="004618D5" w:rsidRDefault="00E77CB3" w:rsidP="004618D5">
      <w:pPr>
        <w:jc w:val="center"/>
        <w:rPr>
          <w:lang w:val="fr-FR"/>
        </w:rPr>
      </w:pPr>
    </w:p>
    <w:p w:rsidR="00E77CB3" w:rsidRPr="004618D5" w:rsidRDefault="00E56C07" w:rsidP="004618D5">
      <w:pPr>
        <w:jc w:val="center"/>
        <w:rPr>
          <w:lang w:val="fr-FR"/>
        </w:rPr>
      </w:pPr>
      <w:r w:rsidRPr="004618D5">
        <w:rPr>
          <w:lang w:val="fr-FR"/>
        </w:rPr>
        <w:t>PREMI</w:t>
      </w:r>
      <w:r w:rsidR="00F01C64" w:rsidRPr="004618D5">
        <w:rPr>
          <w:lang w:val="fr-FR"/>
        </w:rPr>
        <w:t>È</w:t>
      </w:r>
      <w:r w:rsidRPr="004618D5">
        <w:rPr>
          <w:lang w:val="fr-FR"/>
        </w:rPr>
        <w:t>R</w:t>
      </w:r>
      <w:r w:rsidR="00F01C64" w:rsidRPr="004618D5">
        <w:rPr>
          <w:lang w:val="fr-FR"/>
        </w:rPr>
        <w:t>E SECTION</w:t>
      </w:r>
    </w:p>
    <w:p w:rsidR="00E77CB3" w:rsidRPr="004618D5" w:rsidRDefault="00E77CB3" w:rsidP="004618D5">
      <w:pPr>
        <w:jc w:val="center"/>
        <w:rPr>
          <w:lang w:val="fr-FR"/>
        </w:rPr>
      </w:pPr>
    </w:p>
    <w:p w:rsidR="00B55B33" w:rsidRPr="004618D5" w:rsidRDefault="00B55B33" w:rsidP="004618D5">
      <w:pPr>
        <w:jc w:val="center"/>
        <w:rPr>
          <w:lang w:val="fr-FR"/>
        </w:rPr>
      </w:pPr>
    </w:p>
    <w:p w:rsidR="00B55B33" w:rsidRPr="004618D5" w:rsidRDefault="00B55B33" w:rsidP="004618D5">
      <w:pPr>
        <w:jc w:val="center"/>
        <w:rPr>
          <w:lang w:val="fr-FR"/>
        </w:rPr>
      </w:pPr>
    </w:p>
    <w:p w:rsidR="00B55B33" w:rsidRPr="004618D5" w:rsidRDefault="00B55B33" w:rsidP="004618D5">
      <w:pPr>
        <w:jc w:val="center"/>
        <w:rPr>
          <w:lang w:val="fr-FR"/>
        </w:rPr>
      </w:pPr>
    </w:p>
    <w:p w:rsidR="00B55B33" w:rsidRPr="004618D5" w:rsidRDefault="00B55B33" w:rsidP="004618D5">
      <w:pPr>
        <w:jc w:val="center"/>
        <w:rPr>
          <w:lang w:val="fr-FR"/>
        </w:rPr>
      </w:pPr>
    </w:p>
    <w:p w:rsidR="00CD1556" w:rsidRPr="004618D5" w:rsidRDefault="00CD1556" w:rsidP="004618D5">
      <w:pPr>
        <w:jc w:val="center"/>
        <w:rPr>
          <w:lang w:val="fr-FR"/>
        </w:rPr>
      </w:pPr>
    </w:p>
    <w:p w:rsidR="00CD1556" w:rsidRPr="004618D5" w:rsidRDefault="00CD1556" w:rsidP="004618D5">
      <w:pPr>
        <w:jc w:val="center"/>
        <w:rPr>
          <w:lang w:val="fr-FR"/>
        </w:rPr>
      </w:pPr>
    </w:p>
    <w:p w:rsidR="00B55B33" w:rsidRPr="004618D5" w:rsidRDefault="00B55B33" w:rsidP="004618D5">
      <w:pPr>
        <w:jc w:val="center"/>
        <w:rPr>
          <w:lang w:val="fr-FR"/>
        </w:rPr>
      </w:pPr>
    </w:p>
    <w:p w:rsidR="00E77CB3" w:rsidRPr="004618D5" w:rsidRDefault="00E77CB3" w:rsidP="004618D5">
      <w:pPr>
        <w:jc w:val="center"/>
        <w:rPr>
          <w:b/>
          <w:lang w:val="fr-FR"/>
        </w:rPr>
      </w:pPr>
      <w:bookmarkStart w:id="1" w:name="To"/>
      <w:r w:rsidRPr="004618D5">
        <w:rPr>
          <w:b/>
          <w:lang w:val="fr-FR"/>
        </w:rPr>
        <w:t xml:space="preserve">AFFAIRE </w:t>
      </w:r>
      <w:bookmarkEnd w:id="1"/>
      <w:r w:rsidR="00F01C64" w:rsidRPr="004618D5">
        <w:rPr>
          <w:b/>
          <w:lang w:val="fr-FR"/>
        </w:rPr>
        <w:t>TADDEUCCI ET M</w:t>
      </w:r>
      <w:r w:rsidR="00A05ABD" w:rsidRPr="004618D5">
        <w:rPr>
          <w:b/>
          <w:lang w:val="fr-FR"/>
        </w:rPr>
        <w:t>c</w:t>
      </w:r>
      <w:r w:rsidR="00F01C64" w:rsidRPr="004618D5">
        <w:rPr>
          <w:b/>
          <w:lang w:val="fr-FR"/>
        </w:rPr>
        <w:t>CALL c. ITALIE</w:t>
      </w:r>
    </w:p>
    <w:p w:rsidR="00E77CB3" w:rsidRPr="004618D5" w:rsidRDefault="00E77CB3" w:rsidP="004618D5">
      <w:pPr>
        <w:jc w:val="center"/>
        <w:rPr>
          <w:lang w:val="fr-FR"/>
        </w:rPr>
      </w:pPr>
    </w:p>
    <w:p w:rsidR="004618D5" w:rsidRPr="004618D5" w:rsidRDefault="00E77CB3" w:rsidP="004618D5">
      <w:pPr>
        <w:jc w:val="center"/>
        <w:rPr>
          <w:i/>
          <w:lang w:val="fr-FR"/>
        </w:rPr>
      </w:pPr>
      <w:r w:rsidRPr="004618D5">
        <w:rPr>
          <w:i/>
          <w:lang w:val="fr-FR"/>
        </w:rPr>
        <w:t>(</w:t>
      </w:r>
      <w:r w:rsidR="00F01C64" w:rsidRPr="004618D5">
        <w:rPr>
          <w:i/>
          <w:lang w:val="fr-FR"/>
        </w:rPr>
        <w:t>Requête n</w:t>
      </w:r>
      <w:r w:rsidR="00F01C64" w:rsidRPr="004618D5">
        <w:rPr>
          <w:i/>
          <w:vertAlign w:val="superscript"/>
          <w:lang w:val="fr-FR"/>
        </w:rPr>
        <w:t>o</w:t>
      </w:r>
      <w:r w:rsidR="00F01C64" w:rsidRPr="004618D5">
        <w:rPr>
          <w:i/>
          <w:lang w:val="fr-FR"/>
        </w:rPr>
        <w:t xml:space="preserve"> 51362/09</w:t>
      </w:r>
      <w:r w:rsidRPr="004618D5">
        <w:rPr>
          <w:i/>
          <w:lang w:val="fr-FR"/>
        </w:rPr>
        <w:t>)</w:t>
      </w:r>
    </w:p>
    <w:p w:rsidR="00B55B33" w:rsidRPr="004618D5" w:rsidRDefault="00B55B33" w:rsidP="004618D5">
      <w:pPr>
        <w:jc w:val="center"/>
        <w:rPr>
          <w:szCs w:val="24"/>
          <w:u w:val="single"/>
          <w:lang w:val="fr-FR"/>
        </w:rPr>
      </w:pPr>
    </w:p>
    <w:p w:rsidR="00B55B33" w:rsidRPr="004618D5" w:rsidRDefault="00B55B33" w:rsidP="004618D5">
      <w:pPr>
        <w:jc w:val="center"/>
        <w:rPr>
          <w:szCs w:val="24"/>
          <w:u w:val="single"/>
          <w:lang w:val="fr-FR"/>
        </w:rPr>
      </w:pPr>
    </w:p>
    <w:p w:rsidR="00B55B33" w:rsidRPr="004618D5" w:rsidRDefault="00B55B33" w:rsidP="004618D5">
      <w:pPr>
        <w:jc w:val="center"/>
        <w:rPr>
          <w:szCs w:val="24"/>
          <w:u w:val="single"/>
          <w:lang w:val="fr-FR"/>
        </w:rPr>
      </w:pPr>
    </w:p>
    <w:p w:rsidR="00B55B33" w:rsidRPr="004618D5" w:rsidRDefault="00B55B33" w:rsidP="004618D5">
      <w:pPr>
        <w:jc w:val="center"/>
        <w:rPr>
          <w:szCs w:val="24"/>
          <w:u w:val="single"/>
          <w:lang w:val="fr-FR"/>
        </w:rPr>
      </w:pPr>
    </w:p>
    <w:p w:rsidR="00B55B33" w:rsidRPr="004618D5" w:rsidRDefault="00B55B33" w:rsidP="004618D5">
      <w:pPr>
        <w:jc w:val="center"/>
        <w:rPr>
          <w:szCs w:val="24"/>
          <w:u w:val="single"/>
          <w:lang w:val="fr-FR"/>
        </w:rPr>
      </w:pPr>
    </w:p>
    <w:p w:rsidR="00B55B33" w:rsidRPr="004618D5" w:rsidRDefault="00B55B33" w:rsidP="004618D5">
      <w:pPr>
        <w:jc w:val="center"/>
        <w:rPr>
          <w:szCs w:val="24"/>
          <w:u w:val="single"/>
          <w:lang w:val="fr-FR"/>
        </w:rPr>
      </w:pPr>
    </w:p>
    <w:p w:rsidR="00B55B33" w:rsidRPr="004618D5" w:rsidRDefault="00B55B33" w:rsidP="004618D5">
      <w:pPr>
        <w:jc w:val="center"/>
        <w:rPr>
          <w:szCs w:val="24"/>
          <w:u w:val="single"/>
          <w:lang w:val="fr-FR"/>
        </w:rPr>
      </w:pPr>
    </w:p>
    <w:p w:rsidR="00B55B33" w:rsidRPr="004618D5" w:rsidRDefault="00B55B33" w:rsidP="004618D5">
      <w:pPr>
        <w:jc w:val="center"/>
        <w:rPr>
          <w:szCs w:val="24"/>
          <w:u w:val="single"/>
          <w:lang w:val="fr-FR"/>
        </w:rPr>
      </w:pPr>
    </w:p>
    <w:p w:rsidR="00B55B33" w:rsidRPr="004618D5" w:rsidRDefault="00B55B33" w:rsidP="004618D5">
      <w:pPr>
        <w:jc w:val="center"/>
        <w:rPr>
          <w:szCs w:val="24"/>
          <w:lang w:val="fr-FR"/>
        </w:rPr>
      </w:pPr>
      <w:r w:rsidRPr="004618D5">
        <w:rPr>
          <w:szCs w:val="24"/>
          <w:lang w:val="fr-FR"/>
        </w:rPr>
        <w:t>ARRÊT</w:t>
      </w:r>
    </w:p>
    <w:p w:rsidR="00E77CB3" w:rsidRPr="004618D5" w:rsidRDefault="00E77CB3" w:rsidP="004618D5">
      <w:pPr>
        <w:jc w:val="center"/>
        <w:rPr>
          <w:szCs w:val="24"/>
          <w:lang w:val="fr-FR"/>
        </w:rPr>
      </w:pPr>
    </w:p>
    <w:p w:rsidR="00B55B33" w:rsidRPr="004618D5" w:rsidRDefault="00B55B33" w:rsidP="004618D5">
      <w:pPr>
        <w:jc w:val="center"/>
        <w:rPr>
          <w:szCs w:val="24"/>
          <w:lang w:val="fr-FR"/>
        </w:rPr>
      </w:pPr>
    </w:p>
    <w:p w:rsidR="00B55B33" w:rsidRPr="004618D5" w:rsidRDefault="00B55B33" w:rsidP="004618D5">
      <w:pPr>
        <w:jc w:val="center"/>
        <w:rPr>
          <w:szCs w:val="24"/>
          <w:lang w:val="fr-FR"/>
        </w:rPr>
      </w:pPr>
    </w:p>
    <w:p w:rsidR="00B55B33" w:rsidRPr="004618D5" w:rsidRDefault="00B55B33" w:rsidP="004618D5">
      <w:pPr>
        <w:jc w:val="center"/>
        <w:rPr>
          <w:szCs w:val="24"/>
          <w:lang w:val="fr-FR"/>
        </w:rPr>
      </w:pPr>
    </w:p>
    <w:p w:rsidR="00B55B33" w:rsidRPr="004618D5" w:rsidRDefault="00B55B33" w:rsidP="004618D5">
      <w:pPr>
        <w:jc w:val="center"/>
        <w:rPr>
          <w:szCs w:val="24"/>
          <w:lang w:val="fr-FR"/>
        </w:rPr>
      </w:pPr>
      <w:r w:rsidRPr="004618D5">
        <w:rPr>
          <w:szCs w:val="24"/>
          <w:lang w:val="fr-FR"/>
        </w:rPr>
        <w:t>STRASBOURG</w:t>
      </w:r>
    </w:p>
    <w:p w:rsidR="00B55B33" w:rsidRPr="004618D5" w:rsidRDefault="00B55B33" w:rsidP="004618D5">
      <w:pPr>
        <w:jc w:val="center"/>
        <w:rPr>
          <w:szCs w:val="24"/>
          <w:lang w:val="fr-FR"/>
        </w:rPr>
      </w:pPr>
    </w:p>
    <w:p w:rsidR="00B55B33" w:rsidRPr="004618D5" w:rsidRDefault="00B55B33" w:rsidP="004618D5">
      <w:pPr>
        <w:jc w:val="center"/>
        <w:rPr>
          <w:szCs w:val="24"/>
          <w:lang w:val="fr-FR"/>
        </w:rPr>
      </w:pPr>
      <w:r w:rsidRPr="004618D5">
        <w:rPr>
          <w:szCs w:val="24"/>
          <w:lang w:val="fr-FR"/>
        </w:rPr>
        <w:t>30 juin 2016</w:t>
      </w:r>
    </w:p>
    <w:p w:rsidR="00B55B33" w:rsidRPr="004618D5" w:rsidRDefault="00B55B33" w:rsidP="004618D5">
      <w:pPr>
        <w:jc w:val="center"/>
        <w:rPr>
          <w:szCs w:val="24"/>
          <w:u w:val="single"/>
          <w:lang w:val="fr-FR"/>
        </w:rPr>
      </w:pPr>
    </w:p>
    <w:p w:rsidR="000F764D" w:rsidRPr="004618D5" w:rsidRDefault="000F764D" w:rsidP="004618D5">
      <w:pPr>
        <w:jc w:val="center"/>
        <w:rPr>
          <w:szCs w:val="24"/>
          <w:u w:val="single"/>
          <w:lang w:val="fr-FR"/>
        </w:rPr>
      </w:pPr>
    </w:p>
    <w:p w:rsidR="000F764D" w:rsidRPr="004618D5" w:rsidRDefault="000F764D" w:rsidP="004618D5">
      <w:pPr>
        <w:jc w:val="center"/>
        <w:rPr>
          <w:szCs w:val="24"/>
          <w:u w:val="single"/>
          <w:lang w:val="fr-FR"/>
        </w:rPr>
      </w:pPr>
    </w:p>
    <w:p w:rsidR="000F764D" w:rsidRPr="004618D5" w:rsidRDefault="000F764D" w:rsidP="004618D5">
      <w:pPr>
        <w:jc w:val="center"/>
        <w:rPr>
          <w:szCs w:val="24"/>
          <w:u w:val="single"/>
          <w:lang w:val="fr-FR"/>
        </w:rPr>
      </w:pPr>
    </w:p>
    <w:p w:rsidR="000F764D" w:rsidRPr="004618D5" w:rsidRDefault="000F764D" w:rsidP="004618D5">
      <w:pPr>
        <w:jc w:val="center"/>
        <w:rPr>
          <w:szCs w:val="24"/>
          <w:u w:val="single"/>
          <w:lang w:val="fr-FR"/>
        </w:rPr>
      </w:pPr>
    </w:p>
    <w:p w:rsidR="00B55B33" w:rsidRPr="004618D5" w:rsidRDefault="00B55B33" w:rsidP="004618D5">
      <w:pPr>
        <w:pStyle w:val="ECHRPara"/>
        <w:ind w:firstLine="0"/>
        <w:jc w:val="left"/>
        <w:rPr>
          <w:i/>
          <w:sz w:val="22"/>
          <w:lang w:val="fr-FR"/>
        </w:rPr>
      </w:pPr>
      <w:r w:rsidRPr="004618D5">
        <w:rPr>
          <w:i/>
          <w:sz w:val="22"/>
          <w:lang w:val="fr-FR"/>
        </w:rPr>
        <w:t>Cet arrêt deviendra définitif dans les conditions définies à l</w:t>
      </w:r>
      <w:r w:rsidR="004618D5" w:rsidRPr="004618D5">
        <w:rPr>
          <w:i/>
          <w:sz w:val="22"/>
          <w:lang w:val="fr-FR"/>
        </w:rPr>
        <w:t>’</w:t>
      </w:r>
      <w:r w:rsidRPr="004618D5">
        <w:rPr>
          <w:i/>
          <w:sz w:val="22"/>
          <w:lang w:val="fr-FR"/>
        </w:rPr>
        <w:t>article 44 § 2 de la Convention. Il peu</w:t>
      </w:r>
      <w:r w:rsidR="000F764D" w:rsidRPr="004618D5">
        <w:rPr>
          <w:i/>
          <w:sz w:val="22"/>
          <w:lang w:val="fr-FR"/>
        </w:rPr>
        <w:t>t subir des retouches de forme.</w:t>
      </w:r>
    </w:p>
    <w:p w:rsidR="004618D5" w:rsidRPr="004618D5" w:rsidRDefault="004618D5" w:rsidP="004618D5">
      <w:pPr>
        <w:pStyle w:val="ECHRPara"/>
        <w:ind w:firstLine="0"/>
        <w:jc w:val="left"/>
        <w:rPr>
          <w:lang w:val="fr-FR"/>
        </w:rPr>
        <w:sectPr w:rsidR="004618D5" w:rsidRPr="004618D5" w:rsidSect="00B55B33">
          <w:headerReference w:type="default" r:id="rId11"/>
          <w:headerReference w:type="first" r:id="rId12"/>
          <w:footerReference w:type="first" r:id="rId13"/>
          <w:pgSz w:w="11906" w:h="16838" w:code="9"/>
          <w:pgMar w:top="2274" w:right="2274" w:bottom="2274" w:left="2274" w:header="1701" w:footer="720" w:gutter="0"/>
          <w:pgNumType w:start="1"/>
          <w:cols w:space="720"/>
          <w:titlePg/>
          <w:docGrid w:linePitch="326"/>
        </w:sectPr>
      </w:pPr>
    </w:p>
    <w:p w:rsidR="00E77CB3" w:rsidRPr="004618D5" w:rsidRDefault="00E77CB3" w:rsidP="004618D5">
      <w:pPr>
        <w:pStyle w:val="JuCase"/>
        <w:rPr>
          <w:lang w:val="fr-FR"/>
        </w:rPr>
      </w:pPr>
      <w:r w:rsidRPr="004618D5">
        <w:rPr>
          <w:lang w:val="fr-FR"/>
        </w:rPr>
        <w:lastRenderedPageBreak/>
        <w:t>En l</w:t>
      </w:r>
      <w:r w:rsidR="004618D5" w:rsidRPr="004618D5">
        <w:rPr>
          <w:lang w:val="fr-FR"/>
        </w:rPr>
        <w:t>’</w:t>
      </w:r>
      <w:r w:rsidRPr="004618D5">
        <w:rPr>
          <w:lang w:val="fr-FR"/>
        </w:rPr>
        <w:t xml:space="preserve">affaire </w:t>
      </w:r>
      <w:r w:rsidR="00F01C64" w:rsidRPr="004618D5">
        <w:rPr>
          <w:lang w:val="fr-FR"/>
        </w:rPr>
        <w:t>Taddeucci et McCall c. Italie</w:t>
      </w:r>
      <w:r w:rsidRPr="004618D5">
        <w:rPr>
          <w:lang w:val="fr-FR"/>
        </w:rPr>
        <w:t>,</w:t>
      </w:r>
    </w:p>
    <w:p w:rsidR="00E77CB3" w:rsidRPr="004618D5" w:rsidRDefault="00E77CB3" w:rsidP="004618D5">
      <w:pPr>
        <w:pStyle w:val="ECHRPara"/>
        <w:rPr>
          <w:lang w:val="fr-FR"/>
        </w:rPr>
      </w:pPr>
      <w:r w:rsidRPr="004618D5">
        <w:rPr>
          <w:lang w:val="fr-FR"/>
        </w:rPr>
        <w:t>La Cour européenne des droits de l</w:t>
      </w:r>
      <w:r w:rsidR="004618D5" w:rsidRPr="004618D5">
        <w:rPr>
          <w:lang w:val="fr-FR"/>
        </w:rPr>
        <w:t>’</w:t>
      </w:r>
      <w:r w:rsidRPr="004618D5">
        <w:rPr>
          <w:lang w:val="fr-FR"/>
        </w:rPr>
        <w:t>homme (</w:t>
      </w:r>
      <w:r w:rsidR="00E56C07" w:rsidRPr="004618D5">
        <w:rPr>
          <w:lang w:val="fr-FR"/>
        </w:rPr>
        <w:t>première</w:t>
      </w:r>
      <w:r w:rsidR="00F01C64" w:rsidRPr="004618D5">
        <w:rPr>
          <w:lang w:val="fr-FR"/>
        </w:rPr>
        <w:t xml:space="preserve"> section</w:t>
      </w:r>
      <w:r w:rsidRPr="004618D5">
        <w:rPr>
          <w:lang w:val="fr-FR"/>
        </w:rPr>
        <w:t xml:space="preserve">), siégeant en </w:t>
      </w:r>
      <w:r w:rsidR="00F01C64" w:rsidRPr="004618D5">
        <w:rPr>
          <w:lang w:val="fr-FR"/>
        </w:rPr>
        <w:t>une chambre composée</w:t>
      </w:r>
      <w:r w:rsidRPr="004618D5">
        <w:rPr>
          <w:lang w:val="fr-FR"/>
        </w:rPr>
        <w:t xml:space="preserve"> de :</w:t>
      </w:r>
    </w:p>
    <w:p w:rsidR="00E77CB3" w:rsidRPr="004618D5" w:rsidRDefault="000F764D" w:rsidP="004618D5">
      <w:pPr>
        <w:pStyle w:val="ECHRDecisionBody"/>
        <w:rPr>
          <w:lang w:val="fr-FR"/>
        </w:rPr>
      </w:pPr>
      <w:r w:rsidRPr="004618D5">
        <w:rPr>
          <w:lang w:val="fr-FR"/>
        </w:rPr>
        <w:tab/>
        <w:t>Mirjana Lazarova Trajkovska,</w:t>
      </w:r>
      <w:r w:rsidRPr="004618D5">
        <w:rPr>
          <w:i/>
          <w:lang w:val="fr-FR"/>
        </w:rPr>
        <w:t xml:space="preserve"> présidente,</w:t>
      </w:r>
      <w:r w:rsidRPr="004618D5">
        <w:rPr>
          <w:i/>
          <w:lang w:val="fr-FR"/>
        </w:rPr>
        <w:br/>
      </w:r>
      <w:r w:rsidRPr="004618D5">
        <w:rPr>
          <w:lang w:val="fr-FR"/>
        </w:rPr>
        <w:tab/>
        <w:t>Ledi Bianku,</w:t>
      </w:r>
      <w:r w:rsidRPr="004618D5">
        <w:rPr>
          <w:i/>
          <w:lang w:val="fr-FR"/>
        </w:rPr>
        <w:br/>
      </w:r>
      <w:r w:rsidRPr="004618D5">
        <w:rPr>
          <w:lang w:val="fr-FR"/>
        </w:rPr>
        <w:tab/>
        <w:t>Guido Raimondi,</w:t>
      </w:r>
      <w:r w:rsidRPr="004618D5">
        <w:rPr>
          <w:i/>
          <w:lang w:val="fr-FR"/>
        </w:rPr>
        <w:br/>
      </w:r>
      <w:r w:rsidRPr="004618D5">
        <w:rPr>
          <w:lang w:val="fr-FR"/>
        </w:rPr>
        <w:tab/>
        <w:t>Kristina Pardalos,</w:t>
      </w:r>
      <w:r w:rsidRPr="004618D5">
        <w:rPr>
          <w:i/>
          <w:lang w:val="fr-FR"/>
        </w:rPr>
        <w:br/>
      </w:r>
      <w:r w:rsidRPr="004618D5">
        <w:rPr>
          <w:lang w:val="fr-FR"/>
        </w:rPr>
        <w:tab/>
        <w:t>Linos-Alexandre Sicilianos,</w:t>
      </w:r>
      <w:r w:rsidRPr="004618D5">
        <w:rPr>
          <w:i/>
          <w:lang w:val="fr-FR"/>
        </w:rPr>
        <w:br/>
      </w:r>
      <w:r w:rsidRPr="004618D5">
        <w:rPr>
          <w:lang w:val="fr-FR"/>
        </w:rPr>
        <w:tab/>
        <w:t>Robert Spano,</w:t>
      </w:r>
      <w:r w:rsidRPr="004618D5">
        <w:rPr>
          <w:i/>
          <w:lang w:val="fr-FR"/>
        </w:rPr>
        <w:br/>
      </w:r>
      <w:r w:rsidRPr="004618D5">
        <w:rPr>
          <w:lang w:val="fr-FR"/>
        </w:rPr>
        <w:tab/>
        <w:t>Pauliine Koskelo,</w:t>
      </w:r>
      <w:r w:rsidRPr="004618D5">
        <w:rPr>
          <w:i/>
          <w:lang w:val="fr-FR"/>
        </w:rPr>
        <w:t xml:space="preserve"> juges,</w:t>
      </w:r>
      <w:r w:rsidR="00E77CB3" w:rsidRPr="004618D5">
        <w:rPr>
          <w:lang w:val="fr-FR"/>
        </w:rPr>
        <w:br/>
        <w:t xml:space="preserve">et </w:t>
      </w:r>
      <w:r w:rsidR="00E56C07" w:rsidRPr="004618D5">
        <w:rPr>
          <w:lang w:val="fr-FR"/>
        </w:rPr>
        <w:t xml:space="preserve">de </w:t>
      </w:r>
      <w:r w:rsidR="00956B7E" w:rsidRPr="004618D5">
        <w:rPr>
          <w:lang w:val="fr-FR"/>
        </w:rPr>
        <w:t>Abel Campos</w:t>
      </w:r>
      <w:r w:rsidR="00E56C07" w:rsidRPr="004618D5">
        <w:rPr>
          <w:lang w:val="fr-FR"/>
        </w:rPr>
        <w:t xml:space="preserve">, </w:t>
      </w:r>
      <w:r w:rsidR="00E56C07" w:rsidRPr="004618D5">
        <w:rPr>
          <w:i/>
          <w:lang w:val="fr-FR"/>
        </w:rPr>
        <w:t>greffier</w:t>
      </w:r>
      <w:r w:rsidR="00075E4D" w:rsidRPr="004618D5">
        <w:rPr>
          <w:i/>
          <w:lang w:val="fr-FR"/>
        </w:rPr>
        <w:t xml:space="preserve"> </w:t>
      </w:r>
      <w:r w:rsidR="00E56C07" w:rsidRPr="004618D5">
        <w:rPr>
          <w:i/>
          <w:iCs/>
          <w:lang w:val="fr-FR"/>
        </w:rPr>
        <w:t>d</w:t>
      </w:r>
      <w:r w:rsidR="00E56C07" w:rsidRPr="004618D5">
        <w:rPr>
          <w:i/>
          <w:lang w:val="fr-FR"/>
        </w:rPr>
        <w:t>e section</w:t>
      </w:r>
      <w:r w:rsidR="00E56C07" w:rsidRPr="004618D5">
        <w:rPr>
          <w:lang w:val="fr-FR"/>
        </w:rPr>
        <w:t>,</w:t>
      </w:r>
    </w:p>
    <w:p w:rsidR="00E77CB3" w:rsidRPr="004618D5" w:rsidRDefault="00E77CB3" w:rsidP="004618D5">
      <w:pPr>
        <w:pStyle w:val="ECHRPara"/>
        <w:rPr>
          <w:lang w:val="fr-FR"/>
        </w:rPr>
      </w:pPr>
      <w:r w:rsidRPr="004618D5">
        <w:rPr>
          <w:lang w:val="fr-FR"/>
        </w:rPr>
        <w:t xml:space="preserve">Après en avoir délibéré en chambre du conseil le </w:t>
      </w:r>
      <w:r w:rsidR="000F764D" w:rsidRPr="004618D5">
        <w:rPr>
          <w:lang w:val="fr-FR"/>
        </w:rPr>
        <w:t>31 mai 2016</w:t>
      </w:r>
      <w:r w:rsidRPr="004618D5">
        <w:rPr>
          <w:lang w:val="fr-FR"/>
        </w:rPr>
        <w:t>,</w:t>
      </w:r>
    </w:p>
    <w:p w:rsidR="00E77CB3" w:rsidRPr="004618D5" w:rsidRDefault="00E77CB3" w:rsidP="004618D5">
      <w:pPr>
        <w:pStyle w:val="ECHRPara"/>
        <w:rPr>
          <w:lang w:val="fr-FR"/>
        </w:rPr>
      </w:pPr>
      <w:r w:rsidRPr="004618D5">
        <w:rPr>
          <w:lang w:val="fr-FR"/>
        </w:rPr>
        <w:t>Rend l</w:t>
      </w:r>
      <w:r w:rsidR="004618D5" w:rsidRPr="004618D5">
        <w:rPr>
          <w:lang w:val="fr-FR"/>
        </w:rPr>
        <w:t>’</w:t>
      </w:r>
      <w:r w:rsidRPr="004618D5">
        <w:rPr>
          <w:lang w:val="fr-FR"/>
        </w:rPr>
        <w:t>arrêt que voici, adopté à cette date :</w:t>
      </w:r>
    </w:p>
    <w:p w:rsidR="00E77CB3" w:rsidRPr="004618D5" w:rsidRDefault="00E77CB3" w:rsidP="004618D5">
      <w:pPr>
        <w:pStyle w:val="ECHRTitle1"/>
        <w:rPr>
          <w:lang w:val="fr-FR"/>
        </w:rPr>
      </w:pPr>
      <w:r w:rsidRPr="004618D5">
        <w:rPr>
          <w:lang w:val="fr-FR"/>
        </w:rPr>
        <w:t>PROCÉDURE</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w:t>
      </w:r>
      <w:r w:rsidRPr="004618D5">
        <w:rPr>
          <w:lang w:val="fr-FR"/>
        </w:rPr>
        <w:fldChar w:fldCharType="end"/>
      </w:r>
      <w:r w:rsidR="00E77CB3" w:rsidRPr="004618D5">
        <w:rPr>
          <w:lang w:val="fr-FR"/>
        </w:rPr>
        <w:t>.  À l</w:t>
      </w:r>
      <w:r w:rsidR="004618D5" w:rsidRPr="004618D5">
        <w:rPr>
          <w:lang w:val="fr-FR"/>
        </w:rPr>
        <w:t>’</w:t>
      </w:r>
      <w:r w:rsidR="00E77CB3" w:rsidRPr="004618D5">
        <w:rPr>
          <w:lang w:val="fr-FR"/>
        </w:rPr>
        <w:t>origine de l</w:t>
      </w:r>
      <w:r w:rsidR="004618D5" w:rsidRPr="004618D5">
        <w:rPr>
          <w:lang w:val="fr-FR"/>
        </w:rPr>
        <w:t>’</w:t>
      </w:r>
      <w:r w:rsidR="00E77CB3" w:rsidRPr="004618D5">
        <w:rPr>
          <w:lang w:val="fr-FR"/>
        </w:rPr>
        <w:t xml:space="preserve">affaire </w:t>
      </w:r>
      <w:r w:rsidRPr="004618D5">
        <w:rPr>
          <w:lang w:val="fr-FR"/>
        </w:rPr>
        <w:t>se trouve une requête (n</w:t>
      </w:r>
      <w:r w:rsidR="007E4D68" w:rsidRPr="004618D5">
        <w:rPr>
          <w:vertAlign w:val="superscript"/>
          <w:lang w:val="fr-FR"/>
        </w:rPr>
        <w:t>o</w:t>
      </w:r>
      <w:r w:rsidRPr="004618D5">
        <w:rPr>
          <w:lang w:val="fr-FR"/>
        </w:rPr>
        <w:t xml:space="preserve"> 51362/09) dirigée</w:t>
      </w:r>
      <w:r w:rsidR="00E77CB3" w:rsidRPr="004618D5">
        <w:rPr>
          <w:lang w:val="fr-FR"/>
        </w:rPr>
        <w:t xml:space="preserve"> contre </w:t>
      </w:r>
      <w:r w:rsidRPr="004618D5">
        <w:rPr>
          <w:lang w:val="fr-FR"/>
        </w:rPr>
        <w:t>la République italienne</w:t>
      </w:r>
      <w:r w:rsidR="00E77CB3" w:rsidRPr="004618D5">
        <w:rPr>
          <w:lang w:val="fr-FR"/>
        </w:rPr>
        <w:t xml:space="preserve"> et dont </w:t>
      </w:r>
      <w:r w:rsidR="007E4D68" w:rsidRPr="004618D5">
        <w:rPr>
          <w:lang w:val="fr-FR"/>
        </w:rPr>
        <w:t>un</w:t>
      </w:r>
      <w:r w:rsidRPr="004618D5">
        <w:rPr>
          <w:lang w:val="fr-FR"/>
        </w:rPr>
        <w:t xml:space="preserve"> ressortissant</w:t>
      </w:r>
      <w:r w:rsidR="007E4D68" w:rsidRPr="004618D5">
        <w:rPr>
          <w:lang w:val="fr-FR"/>
        </w:rPr>
        <w:t xml:space="preserve"> italien et un ressortissant néo</w:t>
      </w:r>
      <w:r w:rsidR="00DE3DDA" w:rsidRPr="004618D5">
        <w:rPr>
          <w:lang w:val="fr-FR"/>
        </w:rPr>
        <w:t>-</w:t>
      </w:r>
      <w:r w:rsidR="007E4D68" w:rsidRPr="004618D5">
        <w:rPr>
          <w:lang w:val="fr-FR"/>
        </w:rPr>
        <w:t>zélandais</w:t>
      </w:r>
      <w:r w:rsidRPr="004618D5">
        <w:rPr>
          <w:lang w:val="fr-FR"/>
        </w:rPr>
        <w:t xml:space="preserve">, MM. Roberto Taddeucci et </w:t>
      </w:r>
      <w:r w:rsidR="007E4D68" w:rsidRPr="004618D5">
        <w:rPr>
          <w:lang w:val="fr-FR"/>
        </w:rPr>
        <w:t>Douglas McCall</w:t>
      </w:r>
      <w:r w:rsidRPr="004618D5">
        <w:rPr>
          <w:lang w:val="fr-FR"/>
        </w:rPr>
        <w:t xml:space="preserve"> (« les requérants »), ont saisi la Cour le 15 septembre 2009</w:t>
      </w:r>
      <w:r w:rsidR="00E77CB3" w:rsidRPr="004618D5">
        <w:rPr>
          <w:lang w:val="fr-FR"/>
        </w:rPr>
        <w:t xml:space="preserve"> en vertu de </w:t>
      </w:r>
      <w:r w:rsidRPr="004618D5">
        <w:rPr>
          <w:lang w:val="fr-FR"/>
        </w:rPr>
        <w:t>l</w:t>
      </w:r>
      <w:r w:rsidR="004618D5" w:rsidRPr="004618D5">
        <w:rPr>
          <w:lang w:val="fr-FR"/>
        </w:rPr>
        <w:t>’</w:t>
      </w:r>
      <w:r w:rsidRPr="004618D5">
        <w:rPr>
          <w:lang w:val="fr-FR"/>
        </w:rPr>
        <w:t>article 34</w:t>
      </w:r>
      <w:r w:rsidR="00E77CB3" w:rsidRPr="004618D5">
        <w:rPr>
          <w:lang w:val="fr-FR"/>
        </w:rPr>
        <w:t xml:space="preserve"> de la Convention de sauvegarde des droits de l</w:t>
      </w:r>
      <w:r w:rsidR="004618D5" w:rsidRPr="004618D5">
        <w:rPr>
          <w:lang w:val="fr-FR"/>
        </w:rPr>
        <w:t>’</w:t>
      </w:r>
      <w:r w:rsidR="00E77CB3" w:rsidRPr="004618D5">
        <w:rPr>
          <w:lang w:val="fr-FR"/>
        </w:rPr>
        <w:t>homme et des libertés fondamentales (« la Convention »).</w:t>
      </w:r>
    </w:p>
    <w:p w:rsidR="007E4D68"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w:t>
      </w:r>
      <w:r w:rsidRPr="004618D5">
        <w:rPr>
          <w:lang w:val="fr-FR"/>
        </w:rPr>
        <w:fldChar w:fldCharType="end"/>
      </w:r>
      <w:r w:rsidR="00E77CB3" w:rsidRPr="004618D5">
        <w:rPr>
          <w:lang w:val="fr-FR"/>
        </w:rPr>
        <w:t>.  </w:t>
      </w:r>
      <w:r w:rsidR="008C07D5" w:rsidRPr="004618D5">
        <w:rPr>
          <w:lang w:val="fr-FR"/>
        </w:rPr>
        <w:t>Devant la Cour, l</w:t>
      </w:r>
      <w:r w:rsidRPr="004618D5">
        <w:rPr>
          <w:lang w:val="fr-FR"/>
        </w:rPr>
        <w:t>es requérants ont été représentés par M</w:t>
      </w:r>
      <w:r w:rsidRPr="004618D5">
        <w:rPr>
          <w:vertAlign w:val="superscript"/>
          <w:lang w:val="fr-FR"/>
        </w:rPr>
        <w:t>e</w:t>
      </w:r>
      <w:r w:rsidR="00964429" w:rsidRPr="004618D5">
        <w:rPr>
          <w:lang w:val="fr-FR"/>
        </w:rPr>
        <w:t> R.W. </w:t>
      </w:r>
      <w:r w:rsidRPr="004618D5">
        <w:rPr>
          <w:lang w:val="fr-FR"/>
        </w:rPr>
        <w:t xml:space="preserve">Wintemute, avocat à Londres. </w:t>
      </w:r>
      <w:r w:rsidR="00E77CB3" w:rsidRPr="004618D5">
        <w:rPr>
          <w:lang w:val="fr-FR"/>
        </w:rPr>
        <w:t xml:space="preserve">Le gouvernement </w:t>
      </w:r>
      <w:r w:rsidRPr="004618D5">
        <w:rPr>
          <w:lang w:val="fr-FR"/>
        </w:rPr>
        <w:t>italien</w:t>
      </w:r>
      <w:r w:rsidR="00E77CB3" w:rsidRPr="004618D5">
        <w:rPr>
          <w:lang w:val="fr-FR"/>
        </w:rPr>
        <w:t xml:space="preserve"> (« le Gouvernement ») a été représenté par son agent</w:t>
      </w:r>
      <w:r w:rsidR="00BF0E12" w:rsidRPr="004618D5">
        <w:rPr>
          <w:lang w:val="fr-FR"/>
        </w:rPr>
        <w:t>e</w:t>
      </w:r>
      <w:r w:rsidR="00E77CB3" w:rsidRPr="004618D5">
        <w:rPr>
          <w:lang w:val="fr-FR"/>
        </w:rPr>
        <w:t xml:space="preserve">, </w:t>
      </w:r>
      <w:r w:rsidR="00B5317C" w:rsidRPr="004618D5">
        <w:rPr>
          <w:lang w:val="fr-FR"/>
        </w:rPr>
        <w:t>M</w:t>
      </w:r>
      <w:r w:rsidR="00B5317C" w:rsidRPr="004618D5">
        <w:rPr>
          <w:vertAlign w:val="superscript"/>
          <w:lang w:val="fr-FR"/>
        </w:rPr>
        <w:t>me</w:t>
      </w:r>
      <w:r w:rsidR="00B5317C" w:rsidRPr="004618D5">
        <w:rPr>
          <w:lang w:val="fr-FR"/>
        </w:rPr>
        <w:t xml:space="preserve"> E. Spatafora, et par s</w:t>
      </w:r>
      <w:r w:rsidR="00BF0E12" w:rsidRPr="004618D5">
        <w:rPr>
          <w:lang w:val="fr-FR"/>
        </w:rPr>
        <w:t>a</w:t>
      </w:r>
      <w:r w:rsidR="00B5317C" w:rsidRPr="004618D5">
        <w:rPr>
          <w:lang w:val="fr-FR"/>
        </w:rPr>
        <w:t xml:space="preserve"> coagent</w:t>
      </w:r>
      <w:r w:rsidR="00BF0E12" w:rsidRPr="004618D5">
        <w:rPr>
          <w:lang w:val="fr-FR"/>
        </w:rPr>
        <w:t>e</w:t>
      </w:r>
      <w:r w:rsidR="00B5317C" w:rsidRPr="004618D5">
        <w:rPr>
          <w:lang w:val="fr-FR"/>
        </w:rPr>
        <w:t>, M</w:t>
      </w:r>
      <w:r w:rsidR="00B5317C" w:rsidRPr="004618D5">
        <w:rPr>
          <w:vertAlign w:val="superscript"/>
          <w:lang w:val="fr-FR"/>
        </w:rPr>
        <w:t>me</w:t>
      </w:r>
      <w:r w:rsidR="00B5317C" w:rsidRPr="004618D5">
        <w:rPr>
          <w:lang w:val="fr-FR"/>
        </w:rPr>
        <w:t xml:space="preserve"> P. Accardo.</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3</w:t>
      </w:r>
      <w:r w:rsidRPr="004618D5">
        <w:rPr>
          <w:lang w:val="fr-FR"/>
        </w:rPr>
        <w:fldChar w:fldCharType="end"/>
      </w:r>
      <w:r w:rsidRPr="004618D5">
        <w:rPr>
          <w:lang w:val="fr-FR"/>
        </w:rPr>
        <w:t>.  </w:t>
      </w:r>
      <w:r w:rsidR="008C07D5" w:rsidRPr="004618D5">
        <w:rPr>
          <w:lang w:val="fr-FR"/>
        </w:rPr>
        <w:t>Dans leur requête, l</w:t>
      </w:r>
      <w:r w:rsidRPr="004618D5">
        <w:rPr>
          <w:lang w:val="fr-FR"/>
        </w:rPr>
        <w:t>es requérants all</w:t>
      </w:r>
      <w:r w:rsidR="002C15C8" w:rsidRPr="004618D5">
        <w:rPr>
          <w:lang w:val="fr-FR"/>
        </w:rPr>
        <w:t>é</w:t>
      </w:r>
      <w:r w:rsidRPr="004618D5">
        <w:rPr>
          <w:lang w:val="fr-FR"/>
        </w:rPr>
        <w:t>gu</w:t>
      </w:r>
      <w:r w:rsidR="002C15C8" w:rsidRPr="004618D5">
        <w:rPr>
          <w:lang w:val="fr-FR"/>
        </w:rPr>
        <w:t>ai</w:t>
      </w:r>
      <w:r w:rsidRPr="004618D5">
        <w:rPr>
          <w:lang w:val="fr-FR"/>
        </w:rPr>
        <w:t>ent</w:t>
      </w:r>
      <w:r w:rsidR="007E4D68" w:rsidRPr="004618D5">
        <w:rPr>
          <w:lang w:val="fr-FR"/>
        </w:rPr>
        <w:t xml:space="preserve"> que le refus d</w:t>
      </w:r>
      <w:r w:rsidR="004618D5" w:rsidRPr="004618D5">
        <w:rPr>
          <w:lang w:val="fr-FR"/>
        </w:rPr>
        <w:t>’</w:t>
      </w:r>
      <w:r w:rsidR="007E4D68" w:rsidRPr="004618D5">
        <w:rPr>
          <w:lang w:val="fr-FR"/>
        </w:rPr>
        <w:t xml:space="preserve">octroyer au deuxième requérant un permis de séjour </w:t>
      </w:r>
      <w:r w:rsidR="00AD699C" w:rsidRPr="004618D5">
        <w:rPr>
          <w:lang w:val="fr-FR"/>
        </w:rPr>
        <w:t>pour raison familiale</w:t>
      </w:r>
      <w:r w:rsidR="007E4D68" w:rsidRPr="004618D5">
        <w:rPr>
          <w:lang w:val="fr-FR"/>
        </w:rPr>
        <w:t xml:space="preserve"> s</w:t>
      </w:r>
      <w:r w:rsidR="004618D5" w:rsidRPr="004618D5">
        <w:rPr>
          <w:lang w:val="fr-FR"/>
        </w:rPr>
        <w:t>’</w:t>
      </w:r>
      <w:r w:rsidR="007E4D68" w:rsidRPr="004618D5">
        <w:rPr>
          <w:lang w:val="fr-FR"/>
        </w:rPr>
        <w:t>analys</w:t>
      </w:r>
      <w:r w:rsidR="002C15C8" w:rsidRPr="004618D5">
        <w:rPr>
          <w:lang w:val="fr-FR"/>
        </w:rPr>
        <w:t>ait</w:t>
      </w:r>
      <w:r w:rsidR="007E4D68" w:rsidRPr="004618D5">
        <w:rPr>
          <w:lang w:val="fr-FR"/>
        </w:rPr>
        <w:t xml:space="preserve"> en une discrimination fondée sur l</w:t>
      </w:r>
      <w:r w:rsidR="004618D5" w:rsidRPr="004618D5">
        <w:rPr>
          <w:lang w:val="fr-FR"/>
        </w:rPr>
        <w:t>’</w:t>
      </w:r>
      <w:r w:rsidR="007E4D68" w:rsidRPr="004618D5">
        <w:rPr>
          <w:lang w:val="fr-FR"/>
        </w:rPr>
        <w:t>orientation sexuelle</w:t>
      </w:r>
      <w:r w:rsidRPr="004618D5">
        <w:rPr>
          <w:lang w:val="fr-FR"/>
        </w:rPr>
        <w:t>.</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4</w:t>
      </w:r>
      <w:r w:rsidRPr="004618D5">
        <w:rPr>
          <w:lang w:val="fr-FR"/>
        </w:rPr>
        <w:fldChar w:fldCharType="end"/>
      </w:r>
      <w:r w:rsidR="00E77CB3" w:rsidRPr="004618D5">
        <w:rPr>
          <w:lang w:val="fr-FR"/>
        </w:rPr>
        <w:t>.  </w:t>
      </w:r>
      <w:r w:rsidRPr="004618D5">
        <w:rPr>
          <w:lang w:val="fr-FR"/>
        </w:rPr>
        <w:t>Le 10 janvier 2012</w:t>
      </w:r>
      <w:r w:rsidR="00E77CB3" w:rsidRPr="004618D5">
        <w:rPr>
          <w:lang w:val="fr-FR"/>
        </w:rPr>
        <w:t xml:space="preserve">, </w:t>
      </w:r>
      <w:r w:rsidRPr="004618D5">
        <w:rPr>
          <w:lang w:val="fr-FR"/>
        </w:rPr>
        <w:t>la requête a été communiquée au Gouvernement</w:t>
      </w:r>
      <w:r w:rsidR="00C1262B" w:rsidRPr="004618D5">
        <w:rPr>
          <w:lang w:val="fr-FR"/>
        </w:rPr>
        <w:t>.</w:t>
      </w:r>
    </w:p>
    <w:p w:rsidR="00162F69" w:rsidRPr="004618D5" w:rsidRDefault="00CE4407"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w:t>
      </w:r>
      <w:r w:rsidRPr="004618D5">
        <w:rPr>
          <w:lang w:val="fr-FR"/>
        </w:rPr>
        <w:fldChar w:fldCharType="end"/>
      </w:r>
      <w:r w:rsidRPr="004618D5">
        <w:rPr>
          <w:lang w:val="fr-FR"/>
        </w:rPr>
        <w:t xml:space="preserve">.  Tant les requérants que le gouvernement défendeur ont déposé des observations écrites. En outre, des commentaires ont été reçus de </w:t>
      </w:r>
      <w:r w:rsidR="00AD699C" w:rsidRPr="004618D5">
        <w:rPr>
          <w:lang w:val="fr-FR"/>
        </w:rPr>
        <w:t xml:space="preserve">la part de </w:t>
      </w:r>
      <w:r w:rsidRPr="004618D5">
        <w:rPr>
          <w:lang w:val="fr-FR"/>
        </w:rPr>
        <w:t>quatre organisations non</w:t>
      </w:r>
      <w:r w:rsidR="00AD699C" w:rsidRPr="004618D5">
        <w:rPr>
          <w:lang w:val="fr-FR"/>
        </w:rPr>
        <w:t xml:space="preserve"> </w:t>
      </w:r>
      <w:r w:rsidRPr="004618D5">
        <w:rPr>
          <w:lang w:val="fr-FR"/>
        </w:rPr>
        <w:t>gouvernementales (</w:t>
      </w:r>
      <w:r w:rsidRPr="004618D5">
        <w:rPr>
          <w:i/>
          <w:lang w:val="fr-FR"/>
        </w:rPr>
        <w:t xml:space="preserve">International Commission of Jurists </w:t>
      </w:r>
      <w:r w:rsidRPr="004618D5">
        <w:rPr>
          <w:lang w:val="fr-FR"/>
        </w:rPr>
        <w:t xml:space="preserve">(ICJ), </w:t>
      </w:r>
      <w:r w:rsidR="00460215" w:rsidRPr="004618D5">
        <w:rPr>
          <w:i/>
          <w:lang w:val="fr-FR"/>
        </w:rPr>
        <w:t>International Lesbian, Gay, Bisexual Trans and Intersex Association</w:t>
      </w:r>
      <w:r w:rsidR="00460215" w:rsidRPr="004618D5">
        <w:rPr>
          <w:lang w:val="fr-FR"/>
        </w:rPr>
        <w:t xml:space="preserve"> (ILGA) </w:t>
      </w:r>
      <w:r w:rsidR="00460215" w:rsidRPr="004618D5">
        <w:rPr>
          <w:i/>
          <w:lang w:val="fr-FR"/>
        </w:rPr>
        <w:t>Europe</w:t>
      </w:r>
      <w:r w:rsidR="00460215" w:rsidRPr="004618D5">
        <w:rPr>
          <w:lang w:val="fr-FR"/>
        </w:rPr>
        <w:t xml:space="preserve">, </w:t>
      </w:r>
      <w:r w:rsidR="00460215" w:rsidRPr="004618D5">
        <w:rPr>
          <w:i/>
          <w:lang w:val="fr-FR"/>
        </w:rPr>
        <w:t>Network of European LGBT Families</w:t>
      </w:r>
      <w:r w:rsidR="00460215" w:rsidRPr="004618D5">
        <w:rPr>
          <w:lang w:val="fr-FR"/>
        </w:rPr>
        <w:t xml:space="preserve"> (NELFA)</w:t>
      </w:r>
      <w:r w:rsidRPr="004618D5">
        <w:rPr>
          <w:lang w:val="fr-FR"/>
        </w:rPr>
        <w:t xml:space="preserve"> et </w:t>
      </w:r>
      <w:r w:rsidRPr="004618D5">
        <w:rPr>
          <w:i/>
          <w:lang w:val="fr-FR"/>
        </w:rPr>
        <w:t xml:space="preserve">European Commission on Sexual Orientation Law </w:t>
      </w:r>
      <w:r w:rsidRPr="004618D5">
        <w:rPr>
          <w:lang w:val="fr-FR"/>
        </w:rPr>
        <w:t>(ECSOL)</w:t>
      </w:r>
      <w:r w:rsidR="00EB7783" w:rsidRPr="004618D5">
        <w:rPr>
          <w:lang w:val="fr-FR"/>
        </w:rPr>
        <w:t>)</w:t>
      </w:r>
      <w:r w:rsidRPr="004618D5">
        <w:rPr>
          <w:lang w:val="fr-FR"/>
        </w:rPr>
        <w:t>, que le président avait autorisé</w:t>
      </w:r>
      <w:r w:rsidR="008C07D5" w:rsidRPr="004618D5">
        <w:rPr>
          <w:lang w:val="fr-FR"/>
        </w:rPr>
        <w:t>es</w:t>
      </w:r>
      <w:r w:rsidRPr="004618D5">
        <w:rPr>
          <w:lang w:val="fr-FR"/>
        </w:rPr>
        <w:t xml:space="preserve"> à intervenir dans la procédure écrite devant la chambre (articles 36 § 2 de la Convention et 44 § 3 du règlement</w:t>
      </w:r>
      <w:r w:rsidR="003E3C16" w:rsidRPr="004618D5">
        <w:rPr>
          <w:lang w:val="fr-FR"/>
        </w:rPr>
        <w:t xml:space="preserve"> de la Cour (« le règlement »)</w:t>
      </w:r>
      <w:r w:rsidRPr="004618D5">
        <w:rPr>
          <w:lang w:val="fr-FR"/>
        </w:rPr>
        <w:t>).</w:t>
      </w:r>
    </w:p>
    <w:p w:rsidR="00CE4407" w:rsidRPr="004618D5" w:rsidRDefault="00162F69" w:rsidP="004618D5">
      <w:pPr>
        <w:pStyle w:val="ECHRPara"/>
        <w:rPr>
          <w:szCs w:val="24"/>
          <w:lang w:val="fr-FR" w:eastAsia="en-GB"/>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6</w:t>
      </w:r>
      <w:r w:rsidRPr="004618D5">
        <w:rPr>
          <w:lang w:val="fr-FR"/>
        </w:rPr>
        <w:fldChar w:fldCharType="end"/>
      </w:r>
      <w:r w:rsidRPr="004618D5">
        <w:rPr>
          <w:lang w:val="fr-FR"/>
        </w:rPr>
        <w:t>.  Le 19 juin 2014, les requérants ont demandé à la Cour de tenir une audience</w:t>
      </w:r>
      <w:r w:rsidR="0055434D" w:rsidRPr="004618D5">
        <w:rPr>
          <w:lang w:val="fr-FR"/>
        </w:rPr>
        <w:t xml:space="preserve"> sur la recevabilité et le fond de l</w:t>
      </w:r>
      <w:r w:rsidR="004618D5" w:rsidRPr="004618D5">
        <w:rPr>
          <w:lang w:val="fr-FR"/>
        </w:rPr>
        <w:t>’</w:t>
      </w:r>
      <w:r w:rsidR="0055434D" w:rsidRPr="004618D5">
        <w:rPr>
          <w:lang w:val="fr-FR"/>
        </w:rPr>
        <w:t>affaire. La Cour a estimé qu</w:t>
      </w:r>
      <w:r w:rsidR="004618D5" w:rsidRPr="004618D5">
        <w:rPr>
          <w:lang w:val="fr-FR"/>
        </w:rPr>
        <w:t>’</w:t>
      </w:r>
      <w:r w:rsidR="0055434D" w:rsidRPr="004618D5">
        <w:rPr>
          <w:lang w:val="fr-FR"/>
        </w:rPr>
        <w:t xml:space="preserve">une </w:t>
      </w:r>
      <w:r w:rsidR="0055434D" w:rsidRPr="004618D5">
        <w:rPr>
          <w:lang w:val="fr-FR"/>
        </w:rPr>
        <w:lastRenderedPageBreak/>
        <w:t>telle audience n</w:t>
      </w:r>
      <w:r w:rsidR="004618D5" w:rsidRPr="004618D5">
        <w:rPr>
          <w:lang w:val="fr-FR"/>
        </w:rPr>
        <w:t>’</w:t>
      </w:r>
      <w:r w:rsidR="0055434D" w:rsidRPr="004618D5">
        <w:rPr>
          <w:lang w:val="fr-FR"/>
        </w:rPr>
        <w:t>était pas nécessaire en l</w:t>
      </w:r>
      <w:r w:rsidR="004618D5" w:rsidRPr="004618D5">
        <w:rPr>
          <w:lang w:val="fr-FR"/>
        </w:rPr>
        <w:t>’</w:t>
      </w:r>
      <w:r w:rsidR="0055434D" w:rsidRPr="004618D5">
        <w:rPr>
          <w:lang w:val="fr-FR"/>
        </w:rPr>
        <w:t>espèce (articles 54 § 5 et 59 § 3 du règlement de la Cour)</w:t>
      </w:r>
      <w:r w:rsidR="000727FD" w:rsidRPr="004618D5">
        <w:rPr>
          <w:lang w:val="fr-FR"/>
        </w:rPr>
        <w:t>.</w:t>
      </w:r>
    </w:p>
    <w:p w:rsidR="00E77CB3" w:rsidRPr="004618D5" w:rsidRDefault="00E77CB3" w:rsidP="004618D5">
      <w:pPr>
        <w:pStyle w:val="ECHRTitle1"/>
        <w:tabs>
          <w:tab w:val="left" w:pos="5387"/>
        </w:tabs>
        <w:rPr>
          <w:lang w:val="fr-FR"/>
        </w:rPr>
      </w:pPr>
      <w:r w:rsidRPr="004618D5">
        <w:rPr>
          <w:lang w:val="fr-FR"/>
        </w:rPr>
        <w:t>EN FAIT</w:t>
      </w:r>
    </w:p>
    <w:p w:rsidR="00E77CB3" w:rsidRPr="004618D5" w:rsidRDefault="00E77CB3" w:rsidP="004618D5">
      <w:pPr>
        <w:pStyle w:val="ECHRHeading1"/>
        <w:rPr>
          <w:lang w:val="fr-FR"/>
        </w:rPr>
      </w:pPr>
      <w:r w:rsidRPr="004618D5">
        <w:rPr>
          <w:lang w:val="fr-FR"/>
        </w:rPr>
        <w:t>I.  LES CIRCONSTANCES DE L</w:t>
      </w:r>
      <w:r w:rsidR="004618D5" w:rsidRPr="004618D5">
        <w:rPr>
          <w:lang w:val="fr-FR"/>
        </w:rPr>
        <w:t>’</w:t>
      </w:r>
      <w:r w:rsidRPr="004618D5">
        <w:rPr>
          <w:lang w:val="fr-FR"/>
        </w:rPr>
        <w:t>ESPÈCE</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w:t>
      </w:r>
      <w:r w:rsidRPr="004618D5">
        <w:rPr>
          <w:lang w:val="fr-FR"/>
        </w:rPr>
        <w:fldChar w:fldCharType="end"/>
      </w:r>
      <w:r w:rsidR="00E77CB3" w:rsidRPr="004618D5">
        <w:rPr>
          <w:lang w:val="fr-FR"/>
        </w:rPr>
        <w:t>.  </w:t>
      </w:r>
      <w:r w:rsidR="00EB7783" w:rsidRPr="004618D5">
        <w:rPr>
          <w:lang w:val="fr-FR"/>
        </w:rPr>
        <w:t>M. Taddeucci</w:t>
      </w:r>
      <w:r w:rsidR="002C15C8" w:rsidRPr="004618D5">
        <w:rPr>
          <w:lang w:val="fr-FR"/>
        </w:rPr>
        <w:t xml:space="preserve"> (« le premier requérant »)</w:t>
      </w:r>
      <w:r w:rsidR="00EB7783" w:rsidRPr="004618D5">
        <w:rPr>
          <w:lang w:val="fr-FR"/>
        </w:rPr>
        <w:t xml:space="preserve"> est né en 1965</w:t>
      </w:r>
      <w:r w:rsidR="002C15C8" w:rsidRPr="004618D5">
        <w:rPr>
          <w:lang w:val="fr-FR"/>
        </w:rPr>
        <w:t>.</w:t>
      </w:r>
      <w:r w:rsidR="00EB7783" w:rsidRPr="004618D5">
        <w:rPr>
          <w:lang w:val="fr-FR"/>
        </w:rPr>
        <w:t xml:space="preserve"> M.</w:t>
      </w:r>
      <w:r w:rsidR="00AD699C" w:rsidRPr="004618D5">
        <w:rPr>
          <w:lang w:val="fr-FR"/>
        </w:rPr>
        <w:t> </w:t>
      </w:r>
      <w:r w:rsidR="00EB7783" w:rsidRPr="004618D5">
        <w:rPr>
          <w:lang w:val="fr-FR"/>
        </w:rPr>
        <w:t>McCall</w:t>
      </w:r>
      <w:r w:rsidR="002C15C8" w:rsidRPr="004618D5">
        <w:rPr>
          <w:lang w:val="fr-FR"/>
        </w:rPr>
        <w:t xml:space="preserve"> (« le deuxième requérant ») </w:t>
      </w:r>
      <w:r w:rsidR="00EB7783" w:rsidRPr="004618D5">
        <w:rPr>
          <w:lang w:val="fr-FR"/>
        </w:rPr>
        <w:t>est né en</w:t>
      </w:r>
      <w:r w:rsidRPr="004618D5">
        <w:rPr>
          <w:lang w:val="fr-FR"/>
        </w:rPr>
        <w:t xml:space="preserve"> </w:t>
      </w:r>
      <w:r w:rsidR="007E4D68" w:rsidRPr="004618D5">
        <w:rPr>
          <w:lang w:val="fr-FR"/>
        </w:rPr>
        <w:t>1958</w:t>
      </w:r>
      <w:r w:rsidR="00EB7783" w:rsidRPr="004618D5">
        <w:rPr>
          <w:lang w:val="fr-FR"/>
        </w:rPr>
        <w:t>. Ils</w:t>
      </w:r>
      <w:r w:rsidRPr="004618D5">
        <w:rPr>
          <w:lang w:val="fr-FR"/>
        </w:rPr>
        <w:t xml:space="preserve"> résident à Amsterdam</w:t>
      </w:r>
      <w:r w:rsidR="00E77CB3" w:rsidRPr="004618D5">
        <w:rPr>
          <w:lang w:val="fr-FR"/>
        </w:rPr>
        <w:t>.</w:t>
      </w:r>
    </w:p>
    <w:p w:rsidR="009E7A60" w:rsidRPr="004618D5" w:rsidRDefault="009E7A60" w:rsidP="004618D5">
      <w:pPr>
        <w:pStyle w:val="ECHRHeading2"/>
        <w:rPr>
          <w:lang w:val="fr-FR"/>
        </w:rPr>
      </w:pPr>
      <w:r w:rsidRPr="004618D5">
        <w:rPr>
          <w:lang w:val="fr-FR"/>
        </w:rPr>
        <w:t xml:space="preserve">A.  La demande de permis de séjour </w:t>
      </w:r>
      <w:r w:rsidR="00AD699C" w:rsidRPr="004618D5">
        <w:rPr>
          <w:lang w:val="fr-FR"/>
        </w:rPr>
        <w:t>pour raison familiale</w:t>
      </w:r>
      <w:r w:rsidRPr="004618D5">
        <w:rPr>
          <w:lang w:val="fr-FR"/>
        </w:rPr>
        <w:t xml:space="preserve"> du deuxième requérant</w:t>
      </w:r>
    </w:p>
    <w:p w:rsidR="007E4D68"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w:t>
      </w:r>
      <w:r w:rsidRPr="004618D5">
        <w:rPr>
          <w:lang w:val="fr-FR"/>
        </w:rPr>
        <w:fldChar w:fldCharType="end"/>
      </w:r>
      <w:r w:rsidR="00E77CB3" w:rsidRPr="004618D5">
        <w:rPr>
          <w:lang w:val="fr-FR"/>
        </w:rPr>
        <w:t>.  </w:t>
      </w:r>
      <w:r w:rsidR="007E4D68" w:rsidRPr="004618D5">
        <w:rPr>
          <w:lang w:val="fr-FR"/>
        </w:rPr>
        <w:t xml:space="preserve">Les requérants forment un couple homosexuel depuis 1999. Ils </w:t>
      </w:r>
      <w:r w:rsidR="00AD699C" w:rsidRPr="004618D5">
        <w:rPr>
          <w:lang w:val="fr-FR"/>
        </w:rPr>
        <w:t xml:space="preserve">ont résidé </w:t>
      </w:r>
      <w:r w:rsidR="007E4D68" w:rsidRPr="004618D5">
        <w:rPr>
          <w:lang w:val="fr-FR"/>
        </w:rPr>
        <w:t>en Nouvelle</w:t>
      </w:r>
      <w:r w:rsidR="00AD699C" w:rsidRPr="004618D5">
        <w:rPr>
          <w:lang w:val="fr-FR"/>
        </w:rPr>
        <w:t>-</w:t>
      </w:r>
      <w:r w:rsidR="007E4D68" w:rsidRPr="004618D5">
        <w:rPr>
          <w:lang w:val="fr-FR"/>
        </w:rPr>
        <w:t>Zélande, avec le statut de couple non</w:t>
      </w:r>
      <w:r w:rsidR="00AD699C" w:rsidRPr="004618D5">
        <w:rPr>
          <w:lang w:val="fr-FR"/>
        </w:rPr>
        <w:t xml:space="preserve"> </w:t>
      </w:r>
      <w:r w:rsidR="007E4D68" w:rsidRPr="004618D5">
        <w:rPr>
          <w:lang w:val="fr-FR"/>
        </w:rPr>
        <w:t>marié, jusqu</w:t>
      </w:r>
      <w:r w:rsidR="004618D5" w:rsidRPr="004618D5">
        <w:rPr>
          <w:lang w:val="fr-FR"/>
        </w:rPr>
        <w:t>’</w:t>
      </w:r>
      <w:r w:rsidR="007E4D68" w:rsidRPr="004618D5">
        <w:rPr>
          <w:lang w:val="fr-FR"/>
        </w:rPr>
        <w:t xml:space="preserve">en décembre 2003, </w:t>
      </w:r>
      <w:r w:rsidR="00AD699C" w:rsidRPr="004618D5">
        <w:rPr>
          <w:lang w:val="fr-FR"/>
        </w:rPr>
        <w:t xml:space="preserve">date à laquelle ils </w:t>
      </w:r>
      <w:r w:rsidR="007E4D68" w:rsidRPr="004618D5">
        <w:rPr>
          <w:lang w:val="fr-FR"/>
        </w:rPr>
        <w:t>décidèrent de s</w:t>
      </w:r>
      <w:r w:rsidR="004618D5" w:rsidRPr="004618D5">
        <w:rPr>
          <w:lang w:val="fr-FR"/>
        </w:rPr>
        <w:t>’</w:t>
      </w:r>
      <w:r w:rsidR="007E4D68" w:rsidRPr="004618D5">
        <w:rPr>
          <w:lang w:val="fr-FR"/>
        </w:rPr>
        <w:t xml:space="preserve">installer en Italie en raison de </w:t>
      </w:r>
      <w:r w:rsidR="00AD699C" w:rsidRPr="004618D5">
        <w:rPr>
          <w:lang w:val="fr-FR"/>
        </w:rPr>
        <w:t xml:space="preserve">la précarité de </w:t>
      </w:r>
      <w:r w:rsidR="007E4D68" w:rsidRPr="004618D5">
        <w:rPr>
          <w:lang w:val="fr-FR"/>
        </w:rPr>
        <w:t>l</w:t>
      </w:r>
      <w:r w:rsidR="004618D5" w:rsidRPr="004618D5">
        <w:rPr>
          <w:lang w:val="fr-FR"/>
        </w:rPr>
        <w:t>’</w:t>
      </w:r>
      <w:r w:rsidR="007E4D68" w:rsidRPr="004618D5">
        <w:rPr>
          <w:lang w:val="fr-FR"/>
        </w:rPr>
        <w:t>état de santé</w:t>
      </w:r>
      <w:r w:rsidR="00AD699C" w:rsidRPr="004618D5">
        <w:rPr>
          <w:lang w:val="fr-FR"/>
        </w:rPr>
        <w:t xml:space="preserve"> </w:t>
      </w:r>
      <w:r w:rsidR="007E4D68" w:rsidRPr="004618D5">
        <w:rPr>
          <w:lang w:val="fr-FR"/>
        </w:rPr>
        <w:t>d</w:t>
      </w:r>
      <w:r w:rsidR="00761480" w:rsidRPr="004618D5">
        <w:rPr>
          <w:lang w:val="fr-FR"/>
        </w:rPr>
        <w:t>u premier requérant</w:t>
      </w:r>
      <w:r w:rsidR="007E4D68" w:rsidRPr="004618D5">
        <w:rPr>
          <w:lang w:val="fr-FR"/>
        </w:rPr>
        <w:t>.</w:t>
      </w:r>
    </w:p>
    <w:p w:rsidR="007E4D68"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w:t>
      </w:r>
      <w:r w:rsidRPr="004618D5">
        <w:rPr>
          <w:lang w:val="fr-FR"/>
        </w:rPr>
        <w:fldChar w:fldCharType="end"/>
      </w:r>
      <w:r w:rsidRPr="004618D5">
        <w:rPr>
          <w:lang w:val="fr-FR"/>
        </w:rPr>
        <w:t>.  Pendant l</w:t>
      </w:r>
      <w:r w:rsidR="00AD699C" w:rsidRPr="004618D5">
        <w:rPr>
          <w:lang w:val="fr-FR"/>
        </w:rPr>
        <w:t>eur</w:t>
      </w:r>
      <w:r w:rsidRPr="004618D5">
        <w:rPr>
          <w:lang w:val="fr-FR"/>
        </w:rPr>
        <w:t xml:space="preserve"> première période de résidence en Italie, </w:t>
      </w:r>
      <w:r w:rsidR="00761480" w:rsidRPr="004618D5">
        <w:rPr>
          <w:lang w:val="fr-FR"/>
        </w:rPr>
        <w:t>le deuxième requérant</w:t>
      </w:r>
      <w:r w:rsidRPr="004618D5">
        <w:rPr>
          <w:lang w:val="fr-FR"/>
        </w:rPr>
        <w:t xml:space="preserve"> bénéficia d</w:t>
      </w:r>
      <w:r w:rsidR="004618D5" w:rsidRPr="004618D5">
        <w:rPr>
          <w:lang w:val="fr-FR"/>
        </w:rPr>
        <w:t>’</w:t>
      </w:r>
      <w:r w:rsidRPr="004618D5">
        <w:rPr>
          <w:lang w:val="fr-FR"/>
        </w:rPr>
        <w:t>une carte de séjour temporaire pour étudiant. Il demanda par la suite l</w:t>
      </w:r>
      <w:r w:rsidR="004618D5" w:rsidRPr="004618D5">
        <w:rPr>
          <w:lang w:val="fr-FR"/>
        </w:rPr>
        <w:t>’</w:t>
      </w:r>
      <w:r w:rsidRPr="004618D5">
        <w:rPr>
          <w:lang w:val="fr-FR"/>
        </w:rPr>
        <w:t>octroi d</w:t>
      </w:r>
      <w:r w:rsidR="004618D5" w:rsidRPr="004618D5">
        <w:rPr>
          <w:lang w:val="fr-FR"/>
        </w:rPr>
        <w:t>’</w:t>
      </w:r>
      <w:r w:rsidRPr="004618D5">
        <w:rPr>
          <w:lang w:val="fr-FR"/>
        </w:rPr>
        <w:t xml:space="preserve">un permis de séjour </w:t>
      </w:r>
      <w:r w:rsidR="00AD699C" w:rsidRPr="004618D5">
        <w:rPr>
          <w:lang w:val="fr-FR"/>
        </w:rPr>
        <w:t>pour raison familiale</w:t>
      </w:r>
      <w:r w:rsidRPr="004618D5">
        <w:rPr>
          <w:lang w:val="fr-FR"/>
        </w:rPr>
        <w:t xml:space="preserve">, en </w:t>
      </w:r>
      <w:r w:rsidR="003E3C16" w:rsidRPr="004618D5">
        <w:rPr>
          <w:lang w:val="fr-FR"/>
        </w:rPr>
        <w:t xml:space="preserve">vertu </w:t>
      </w:r>
      <w:r w:rsidRPr="004618D5">
        <w:rPr>
          <w:lang w:val="fr-FR"/>
        </w:rPr>
        <w:t>du décret législatif n</w:t>
      </w:r>
      <w:r w:rsidRPr="004618D5">
        <w:rPr>
          <w:vertAlign w:val="superscript"/>
          <w:lang w:val="fr-FR"/>
        </w:rPr>
        <w:t>o</w:t>
      </w:r>
      <w:r w:rsidRPr="004618D5">
        <w:rPr>
          <w:lang w:val="fr-FR"/>
        </w:rPr>
        <w:t xml:space="preserve"> 286 du 25 juillet 1998</w:t>
      </w:r>
      <w:r w:rsidR="00EB7783" w:rsidRPr="004618D5">
        <w:rPr>
          <w:lang w:val="fr-FR"/>
        </w:rPr>
        <w:t xml:space="preserve"> (paragraphes</w:t>
      </w:r>
      <w:r w:rsidR="00B86864" w:rsidRPr="004618D5">
        <w:rPr>
          <w:lang w:val="fr-FR"/>
        </w:rPr>
        <w:t> </w:t>
      </w:r>
      <w:r w:rsidR="003C71B5" w:rsidRPr="004618D5">
        <w:rPr>
          <w:lang w:val="fr-FR"/>
        </w:rPr>
        <w:t>26</w:t>
      </w:r>
      <w:r w:rsidR="002C15C8" w:rsidRPr="004618D5">
        <w:rPr>
          <w:lang w:val="fr-FR"/>
        </w:rPr>
        <w:noBreakHyphen/>
      </w:r>
      <w:r w:rsidR="003C71B5" w:rsidRPr="004618D5">
        <w:rPr>
          <w:lang w:val="fr-FR"/>
        </w:rPr>
        <w:t>28</w:t>
      </w:r>
      <w:r w:rsidR="002C15C8" w:rsidRPr="004618D5">
        <w:rPr>
          <w:lang w:val="fr-FR"/>
        </w:rPr>
        <w:t xml:space="preserve"> </w:t>
      </w:r>
      <w:r w:rsidR="00964429" w:rsidRPr="004618D5">
        <w:rPr>
          <w:lang w:val="fr-FR"/>
        </w:rPr>
        <w:t>ci</w:t>
      </w:r>
      <w:r w:rsidR="00964429" w:rsidRPr="004618D5">
        <w:rPr>
          <w:lang w:val="fr-FR"/>
        </w:rPr>
        <w:noBreakHyphen/>
      </w:r>
      <w:r w:rsidR="003E3C16" w:rsidRPr="004618D5">
        <w:rPr>
          <w:lang w:val="fr-FR"/>
        </w:rPr>
        <w:t>dessous</w:t>
      </w:r>
      <w:r w:rsidR="00EB7783" w:rsidRPr="004618D5">
        <w:rPr>
          <w:lang w:val="fr-FR"/>
        </w:rPr>
        <w:t>)</w:t>
      </w:r>
      <w:r w:rsidRPr="004618D5">
        <w:rPr>
          <w:lang w:val="fr-FR"/>
        </w:rPr>
        <w:t>.</w:t>
      </w:r>
    </w:p>
    <w:p w:rsidR="007E4D68"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w:t>
      </w:r>
      <w:r w:rsidRPr="004618D5">
        <w:rPr>
          <w:lang w:val="fr-FR"/>
        </w:rPr>
        <w:fldChar w:fldCharType="end"/>
      </w:r>
      <w:r w:rsidRPr="004618D5">
        <w:rPr>
          <w:lang w:val="fr-FR"/>
        </w:rPr>
        <w:t>.  Le 18 octobre 200</w:t>
      </w:r>
      <w:r w:rsidR="00745E52" w:rsidRPr="004618D5">
        <w:rPr>
          <w:lang w:val="fr-FR"/>
        </w:rPr>
        <w:t>4</w:t>
      </w:r>
      <w:r w:rsidRPr="004618D5">
        <w:rPr>
          <w:lang w:val="fr-FR"/>
        </w:rPr>
        <w:t xml:space="preserve">, le chef de la </w:t>
      </w:r>
      <w:r w:rsidR="00AD699C" w:rsidRPr="004618D5">
        <w:rPr>
          <w:lang w:val="fr-FR"/>
        </w:rPr>
        <w:t>p</w:t>
      </w:r>
      <w:r w:rsidRPr="004618D5">
        <w:rPr>
          <w:lang w:val="fr-FR"/>
        </w:rPr>
        <w:t xml:space="preserve">olice de Livourne rejeta </w:t>
      </w:r>
      <w:r w:rsidR="008C07D5" w:rsidRPr="004618D5">
        <w:rPr>
          <w:lang w:val="fr-FR"/>
        </w:rPr>
        <w:t xml:space="preserve">sa </w:t>
      </w:r>
      <w:r w:rsidRPr="004618D5">
        <w:rPr>
          <w:lang w:val="fr-FR"/>
        </w:rPr>
        <w:t>demande au motif que les critères prévus par la loi n</w:t>
      </w:r>
      <w:r w:rsidR="004618D5" w:rsidRPr="004618D5">
        <w:rPr>
          <w:lang w:val="fr-FR"/>
        </w:rPr>
        <w:t>’</w:t>
      </w:r>
      <w:r w:rsidRPr="004618D5">
        <w:rPr>
          <w:lang w:val="fr-FR"/>
        </w:rPr>
        <w:t>étaient pas remplis.</w:t>
      </w:r>
    </w:p>
    <w:p w:rsidR="009E7A60" w:rsidRPr="004618D5" w:rsidRDefault="009E7A60" w:rsidP="004618D5">
      <w:pPr>
        <w:pStyle w:val="ECHRHeading2"/>
        <w:rPr>
          <w:lang w:val="fr-FR"/>
        </w:rPr>
      </w:pPr>
      <w:r w:rsidRPr="004618D5">
        <w:rPr>
          <w:lang w:val="fr-FR"/>
        </w:rPr>
        <w:t>B.  La procédure civile de première instance</w:t>
      </w:r>
    </w:p>
    <w:p w:rsidR="007E4D68"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11</w:t>
      </w:r>
      <w:r w:rsidRPr="004618D5">
        <w:rPr>
          <w:lang w:val="fr-FR"/>
        </w:rPr>
        <w:fldChar w:fldCharType="end"/>
      </w:r>
      <w:r w:rsidRPr="004618D5">
        <w:rPr>
          <w:lang w:val="fr-FR"/>
        </w:rPr>
        <w:t xml:space="preserve">.  Le 27 janvier 2005, les requérants </w:t>
      </w:r>
      <w:r w:rsidR="00745E52" w:rsidRPr="004618D5">
        <w:rPr>
          <w:lang w:val="fr-FR"/>
        </w:rPr>
        <w:t xml:space="preserve">introduisirent </w:t>
      </w:r>
      <w:r w:rsidRPr="004618D5">
        <w:rPr>
          <w:lang w:val="fr-FR"/>
        </w:rPr>
        <w:t xml:space="preserve">un recours </w:t>
      </w:r>
      <w:r w:rsidR="008C07D5" w:rsidRPr="004618D5">
        <w:rPr>
          <w:lang w:val="fr-FR"/>
        </w:rPr>
        <w:t>sur le fondement</w:t>
      </w:r>
      <w:r w:rsidRPr="004618D5">
        <w:rPr>
          <w:lang w:val="fr-FR"/>
        </w:rPr>
        <w:t xml:space="preserve"> du décret législatif n</w:t>
      </w:r>
      <w:r w:rsidRPr="004618D5">
        <w:rPr>
          <w:vertAlign w:val="superscript"/>
          <w:lang w:val="fr-FR"/>
        </w:rPr>
        <w:t>o</w:t>
      </w:r>
      <w:r w:rsidRPr="004618D5">
        <w:rPr>
          <w:lang w:val="fr-FR"/>
        </w:rPr>
        <w:t> 286 de 1998</w:t>
      </w:r>
      <w:r w:rsidR="008C07D5" w:rsidRPr="004618D5">
        <w:rPr>
          <w:lang w:val="fr-FR"/>
        </w:rPr>
        <w:t>. Ils demandaient</w:t>
      </w:r>
      <w:r w:rsidR="003E3C16" w:rsidRPr="004618D5">
        <w:rPr>
          <w:lang w:val="fr-FR"/>
        </w:rPr>
        <w:t xml:space="preserve"> </w:t>
      </w:r>
      <w:r w:rsidRPr="004618D5">
        <w:rPr>
          <w:lang w:val="fr-FR"/>
        </w:rPr>
        <w:t>l</w:t>
      </w:r>
      <w:r w:rsidR="004618D5" w:rsidRPr="004618D5">
        <w:rPr>
          <w:lang w:val="fr-FR"/>
        </w:rPr>
        <w:t>’</w:t>
      </w:r>
      <w:r w:rsidR="00EB7783" w:rsidRPr="004618D5">
        <w:rPr>
          <w:lang w:val="fr-FR"/>
        </w:rPr>
        <w:t>octroi</w:t>
      </w:r>
      <w:r w:rsidRPr="004618D5">
        <w:rPr>
          <w:lang w:val="fr-FR"/>
        </w:rPr>
        <w:t xml:space="preserve"> </w:t>
      </w:r>
      <w:r w:rsidR="008C07D5" w:rsidRPr="004618D5">
        <w:rPr>
          <w:lang w:val="fr-FR"/>
        </w:rPr>
        <w:t>au deuxième requérant d</w:t>
      </w:r>
      <w:r w:rsidR="004618D5" w:rsidRPr="004618D5">
        <w:rPr>
          <w:lang w:val="fr-FR"/>
        </w:rPr>
        <w:t>’</w:t>
      </w:r>
      <w:r w:rsidR="008C07D5" w:rsidRPr="004618D5">
        <w:rPr>
          <w:lang w:val="fr-FR"/>
        </w:rPr>
        <w:t xml:space="preserve">un </w:t>
      </w:r>
      <w:r w:rsidRPr="004618D5">
        <w:rPr>
          <w:lang w:val="fr-FR"/>
        </w:rPr>
        <w:t>permis de séjour</w:t>
      </w:r>
      <w:r w:rsidR="00EB7783" w:rsidRPr="004618D5">
        <w:rPr>
          <w:lang w:val="fr-FR"/>
        </w:rPr>
        <w:t xml:space="preserve"> </w:t>
      </w:r>
      <w:r w:rsidR="00AD699C" w:rsidRPr="004618D5">
        <w:rPr>
          <w:lang w:val="fr-FR"/>
        </w:rPr>
        <w:t>pour raison familiale</w:t>
      </w:r>
      <w:r w:rsidRPr="004618D5">
        <w:rPr>
          <w:lang w:val="fr-FR"/>
        </w:rPr>
        <w:t>.</w:t>
      </w:r>
    </w:p>
    <w:p w:rsidR="009E7A60"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12</w:t>
      </w:r>
      <w:r w:rsidRPr="004618D5">
        <w:rPr>
          <w:lang w:val="fr-FR"/>
        </w:rPr>
        <w:fldChar w:fldCharType="end"/>
      </w:r>
      <w:r w:rsidRPr="004618D5">
        <w:rPr>
          <w:lang w:val="fr-FR"/>
        </w:rPr>
        <w:t>.  Par un jugement du 4 juillet 2005, le tribunal</w:t>
      </w:r>
      <w:r w:rsidR="00745E52" w:rsidRPr="004618D5">
        <w:rPr>
          <w:lang w:val="fr-FR"/>
        </w:rPr>
        <w:t xml:space="preserve"> </w:t>
      </w:r>
      <w:r w:rsidR="009E7A60" w:rsidRPr="004618D5">
        <w:rPr>
          <w:lang w:val="fr-FR"/>
        </w:rPr>
        <w:t xml:space="preserve">civil </w:t>
      </w:r>
      <w:r w:rsidR="00745E52" w:rsidRPr="004618D5">
        <w:rPr>
          <w:lang w:val="fr-FR"/>
        </w:rPr>
        <w:t>de Florence</w:t>
      </w:r>
      <w:r w:rsidRPr="004618D5">
        <w:rPr>
          <w:lang w:val="fr-FR"/>
        </w:rPr>
        <w:t xml:space="preserve"> accuei</w:t>
      </w:r>
      <w:r w:rsidR="000727FD" w:rsidRPr="004618D5">
        <w:rPr>
          <w:lang w:val="fr-FR"/>
        </w:rPr>
        <w:t>llit le recours des requérants.</w:t>
      </w:r>
    </w:p>
    <w:p w:rsidR="007E4D68" w:rsidRPr="004618D5" w:rsidRDefault="009E7A60"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13</w:t>
      </w:r>
      <w:r w:rsidRPr="004618D5">
        <w:rPr>
          <w:lang w:val="fr-FR"/>
        </w:rPr>
        <w:fldChar w:fldCharType="end"/>
      </w:r>
      <w:r w:rsidRPr="004618D5">
        <w:rPr>
          <w:lang w:val="fr-FR"/>
        </w:rPr>
        <w:t>.  Le tribunal</w:t>
      </w:r>
      <w:r w:rsidR="007E4D68" w:rsidRPr="004618D5">
        <w:rPr>
          <w:lang w:val="fr-FR"/>
        </w:rPr>
        <w:t xml:space="preserve"> releva que </w:t>
      </w:r>
      <w:r w:rsidRPr="004618D5">
        <w:rPr>
          <w:lang w:val="fr-FR"/>
        </w:rPr>
        <w:t>les demandeurs</w:t>
      </w:r>
      <w:r w:rsidR="007E4D68" w:rsidRPr="004618D5">
        <w:rPr>
          <w:lang w:val="fr-FR"/>
        </w:rPr>
        <w:t xml:space="preserve"> étaient reconnus en Nouvelle</w:t>
      </w:r>
      <w:r w:rsidR="004618D5" w:rsidRPr="004618D5">
        <w:rPr>
          <w:lang w:val="fr-FR"/>
        </w:rPr>
        <w:noBreakHyphen/>
      </w:r>
      <w:r w:rsidR="007E4D68" w:rsidRPr="004618D5">
        <w:rPr>
          <w:lang w:val="fr-FR"/>
        </w:rPr>
        <w:t>Zélande en tant que couple, le premier requérant ayant bénéficié dans ce pays d</w:t>
      </w:r>
      <w:r w:rsidR="004618D5" w:rsidRPr="004618D5">
        <w:rPr>
          <w:lang w:val="fr-FR"/>
        </w:rPr>
        <w:t>’</w:t>
      </w:r>
      <w:r w:rsidR="007E4D68" w:rsidRPr="004618D5">
        <w:rPr>
          <w:lang w:val="fr-FR"/>
        </w:rPr>
        <w:t xml:space="preserve">un permis de séjour </w:t>
      </w:r>
      <w:r w:rsidR="00AD699C" w:rsidRPr="004618D5">
        <w:rPr>
          <w:lang w:val="fr-FR"/>
        </w:rPr>
        <w:t>pour raison familiale</w:t>
      </w:r>
      <w:r w:rsidR="007E4D68" w:rsidRPr="004618D5">
        <w:rPr>
          <w:lang w:val="fr-FR"/>
        </w:rPr>
        <w:t xml:space="preserve"> en sa qualité de partenaire non</w:t>
      </w:r>
      <w:r w:rsidR="00AD699C" w:rsidRPr="004618D5">
        <w:rPr>
          <w:lang w:val="fr-FR"/>
        </w:rPr>
        <w:t xml:space="preserve"> </w:t>
      </w:r>
      <w:r w:rsidR="007E4D68" w:rsidRPr="004618D5">
        <w:rPr>
          <w:lang w:val="fr-FR"/>
        </w:rPr>
        <w:t>marié. Selon le tribunal, le statut de couple non</w:t>
      </w:r>
      <w:r w:rsidR="003E3C16" w:rsidRPr="004618D5">
        <w:rPr>
          <w:lang w:val="fr-FR"/>
        </w:rPr>
        <w:t xml:space="preserve"> </w:t>
      </w:r>
      <w:r w:rsidR="007E4D68" w:rsidRPr="004618D5">
        <w:rPr>
          <w:lang w:val="fr-FR"/>
        </w:rPr>
        <w:t>marié des requérants n</w:t>
      </w:r>
      <w:r w:rsidR="004618D5" w:rsidRPr="004618D5">
        <w:rPr>
          <w:lang w:val="fr-FR"/>
        </w:rPr>
        <w:t>’</w:t>
      </w:r>
      <w:r w:rsidR="007E4D68" w:rsidRPr="004618D5">
        <w:rPr>
          <w:lang w:val="fr-FR"/>
        </w:rPr>
        <w:t>était pas contraire à l</w:t>
      </w:r>
      <w:r w:rsidR="004618D5" w:rsidRPr="004618D5">
        <w:rPr>
          <w:lang w:val="fr-FR"/>
        </w:rPr>
        <w:t>’</w:t>
      </w:r>
      <w:r w:rsidR="007E4D68" w:rsidRPr="004618D5">
        <w:rPr>
          <w:lang w:val="fr-FR"/>
        </w:rPr>
        <w:t xml:space="preserve">ordre public italien, les couples </w:t>
      </w:r>
      <w:r w:rsidR="007E4D68" w:rsidRPr="004618D5">
        <w:rPr>
          <w:i/>
          <w:lang w:val="fr-FR"/>
        </w:rPr>
        <w:t>de facto</w:t>
      </w:r>
      <w:r w:rsidR="007E4D68" w:rsidRPr="004618D5">
        <w:rPr>
          <w:lang w:val="fr-FR"/>
        </w:rPr>
        <w:t xml:space="preserve"> </w:t>
      </w:r>
      <w:r w:rsidR="008C07D5" w:rsidRPr="004618D5">
        <w:rPr>
          <w:lang w:val="fr-FR"/>
        </w:rPr>
        <w:t>bénéficiant d</w:t>
      </w:r>
      <w:r w:rsidR="004618D5" w:rsidRPr="004618D5">
        <w:rPr>
          <w:lang w:val="fr-FR"/>
        </w:rPr>
        <w:t>’</w:t>
      </w:r>
      <w:r w:rsidR="007E4D68" w:rsidRPr="004618D5">
        <w:rPr>
          <w:lang w:val="fr-FR"/>
        </w:rPr>
        <w:t>une reconnaissance sociale et juridique dans le système italien. De l</w:t>
      </w:r>
      <w:r w:rsidR="004618D5" w:rsidRPr="004618D5">
        <w:rPr>
          <w:lang w:val="fr-FR"/>
        </w:rPr>
        <w:t>’</w:t>
      </w:r>
      <w:r w:rsidR="007E4D68" w:rsidRPr="004618D5">
        <w:rPr>
          <w:lang w:val="fr-FR"/>
        </w:rPr>
        <w:t>avis du tribunal, l</w:t>
      </w:r>
      <w:r w:rsidR="004618D5" w:rsidRPr="004618D5">
        <w:rPr>
          <w:lang w:val="fr-FR"/>
        </w:rPr>
        <w:t>’</w:t>
      </w:r>
      <w:r w:rsidR="007E4D68" w:rsidRPr="004618D5">
        <w:rPr>
          <w:lang w:val="fr-FR"/>
        </w:rPr>
        <w:t>article 30 du décret législatif n</w:t>
      </w:r>
      <w:r w:rsidR="007E4D68" w:rsidRPr="004618D5">
        <w:rPr>
          <w:vertAlign w:val="superscript"/>
          <w:lang w:val="fr-FR"/>
        </w:rPr>
        <w:t>o</w:t>
      </w:r>
      <w:r w:rsidR="007E4D68" w:rsidRPr="004618D5">
        <w:rPr>
          <w:lang w:val="fr-FR"/>
        </w:rPr>
        <w:t xml:space="preserve"> 286 de 1998 (paragraphe</w:t>
      </w:r>
      <w:r w:rsidR="00B21740" w:rsidRPr="004618D5">
        <w:rPr>
          <w:lang w:val="fr-FR"/>
        </w:rPr>
        <w:t> </w:t>
      </w:r>
      <w:r w:rsidR="003C71B5" w:rsidRPr="004618D5">
        <w:rPr>
          <w:lang w:val="fr-FR"/>
        </w:rPr>
        <w:t>27</w:t>
      </w:r>
      <w:r w:rsidR="00EB7783" w:rsidRPr="004618D5">
        <w:rPr>
          <w:lang w:val="fr-FR"/>
        </w:rPr>
        <w:t xml:space="preserve"> </w:t>
      </w:r>
      <w:r w:rsidR="007E4D68" w:rsidRPr="004618D5">
        <w:rPr>
          <w:lang w:val="fr-FR"/>
        </w:rPr>
        <w:t>ci-</w:t>
      </w:r>
      <w:r w:rsidR="00A05ABD" w:rsidRPr="004618D5">
        <w:rPr>
          <w:lang w:val="fr-FR"/>
        </w:rPr>
        <w:t>dessous</w:t>
      </w:r>
      <w:r w:rsidR="007E4D68" w:rsidRPr="004618D5">
        <w:rPr>
          <w:lang w:val="fr-FR"/>
        </w:rPr>
        <w:t xml:space="preserve">) devait être lu de manière conforme aux principes établis par la Constitution, ce qui amenait à considérer le </w:t>
      </w:r>
      <w:r w:rsidRPr="004618D5">
        <w:rPr>
          <w:lang w:val="fr-FR"/>
        </w:rPr>
        <w:t xml:space="preserve">concubin du même </w:t>
      </w:r>
      <w:r w:rsidRPr="004618D5">
        <w:rPr>
          <w:lang w:val="fr-FR"/>
        </w:rPr>
        <w:lastRenderedPageBreak/>
        <w:t>sexe</w:t>
      </w:r>
      <w:r w:rsidR="007E4D68" w:rsidRPr="004618D5">
        <w:rPr>
          <w:lang w:val="fr-FR"/>
        </w:rPr>
        <w:t xml:space="preserve"> comme étant un « membre de la famille » du ressortissant italien</w:t>
      </w:r>
      <w:r w:rsidR="003E3C16" w:rsidRPr="004618D5">
        <w:rPr>
          <w:lang w:val="fr-FR"/>
        </w:rPr>
        <w:t xml:space="preserve"> et donc comme </w:t>
      </w:r>
      <w:r w:rsidR="008C07D5" w:rsidRPr="004618D5">
        <w:rPr>
          <w:lang w:val="fr-FR"/>
        </w:rPr>
        <w:t>disposant</w:t>
      </w:r>
      <w:r w:rsidR="003E3C16" w:rsidRPr="004618D5">
        <w:rPr>
          <w:lang w:val="fr-FR"/>
        </w:rPr>
        <w:t xml:space="preserve"> </w:t>
      </w:r>
      <w:r w:rsidR="007E4D68" w:rsidRPr="004618D5">
        <w:rPr>
          <w:lang w:val="fr-FR"/>
        </w:rPr>
        <w:t>du droit à obtenir un permis de séjour.</w:t>
      </w:r>
    </w:p>
    <w:p w:rsidR="007E4D68" w:rsidRPr="004618D5" w:rsidRDefault="007E4D68" w:rsidP="004618D5">
      <w:pPr>
        <w:pStyle w:val="ECHRPara"/>
        <w:rPr>
          <w:rStyle w:val="ECHRParaCha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14</w:t>
      </w:r>
      <w:r w:rsidRPr="004618D5">
        <w:rPr>
          <w:lang w:val="fr-FR"/>
        </w:rPr>
        <w:fldChar w:fldCharType="end"/>
      </w:r>
      <w:r w:rsidRPr="004618D5">
        <w:rPr>
          <w:lang w:val="fr-FR"/>
        </w:rPr>
        <w:t>.  </w:t>
      </w:r>
      <w:r w:rsidR="00761480" w:rsidRPr="004618D5">
        <w:rPr>
          <w:lang w:val="fr-FR"/>
        </w:rPr>
        <w:t>Selon le tribunal</w:t>
      </w:r>
      <w:r w:rsidRPr="004618D5">
        <w:rPr>
          <w:lang w:val="fr-FR"/>
        </w:rPr>
        <w:t>, l</w:t>
      </w:r>
      <w:r w:rsidR="009E7A60" w:rsidRPr="004618D5">
        <w:rPr>
          <w:lang w:val="fr-FR"/>
        </w:rPr>
        <w:t>e</w:t>
      </w:r>
      <w:r w:rsidRPr="004618D5">
        <w:rPr>
          <w:lang w:val="fr-FR"/>
        </w:rPr>
        <w:t xml:space="preserve"> droit revendiqué pa</w:t>
      </w:r>
      <w:r w:rsidR="00761480" w:rsidRPr="004618D5">
        <w:rPr>
          <w:lang w:val="fr-FR"/>
        </w:rPr>
        <w:t>r</w:t>
      </w:r>
      <w:r w:rsidRPr="004618D5">
        <w:rPr>
          <w:lang w:val="fr-FR"/>
        </w:rPr>
        <w:t xml:space="preserve"> </w:t>
      </w:r>
      <w:r w:rsidR="00761480" w:rsidRPr="004618D5">
        <w:rPr>
          <w:lang w:val="fr-FR"/>
        </w:rPr>
        <w:t>le deuxième requérant</w:t>
      </w:r>
      <w:r w:rsidRPr="004618D5">
        <w:rPr>
          <w:lang w:val="fr-FR"/>
        </w:rPr>
        <w:t xml:space="preserve"> découlait également des articles 3 et 10 de la </w:t>
      </w:r>
      <w:r w:rsidR="009E7A60" w:rsidRPr="004618D5">
        <w:rPr>
          <w:lang w:val="fr-FR" w:eastAsia="en-GB"/>
        </w:rPr>
        <w:t>directive n</w:t>
      </w:r>
      <w:r w:rsidR="00B55B33" w:rsidRPr="004618D5">
        <w:rPr>
          <w:vertAlign w:val="superscript"/>
          <w:lang w:val="fr-FR" w:eastAsia="en-GB"/>
        </w:rPr>
        <w:t>o</w:t>
      </w:r>
      <w:r w:rsidR="009E7A60" w:rsidRPr="004618D5">
        <w:rPr>
          <w:lang w:val="fr-FR" w:eastAsia="en-GB"/>
        </w:rPr>
        <w:t xml:space="preserve"> </w:t>
      </w:r>
      <w:r w:rsidR="009E7A60" w:rsidRPr="004618D5">
        <w:rPr>
          <w:lang w:val="fr-FR"/>
        </w:rPr>
        <w:t xml:space="preserve">2004/38/CE </w:t>
      </w:r>
      <w:r w:rsidR="008C07D5" w:rsidRPr="004618D5">
        <w:rPr>
          <w:lang w:val="fr-FR"/>
        </w:rPr>
        <w:t>du 29</w:t>
      </w:r>
      <w:r w:rsidR="00615786" w:rsidRPr="004618D5">
        <w:rPr>
          <w:lang w:val="fr-FR"/>
        </w:rPr>
        <w:t> </w:t>
      </w:r>
      <w:r w:rsidR="008C07D5" w:rsidRPr="004618D5">
        <w:rPr>
          <w:lang w:val="fr-FR"/>
        </w:rPr>
        <w:t xml:space="preserve">mai 2004 </w:t>
      </w:r>
      <w:r w:rsidR="009E7A60" w:rsidRPr="004618D5">
        <w:rPr>
          <w:lang w:val="fr-FR"/>
        </w:rPr>
        <w:t>du Parlement européen et du Conseil (paragraphe</w:t>
      </w:r>
      <w:r w:rsidR="00CD7784" w:rsidRPr="004618D5">
        <w:rPr>
          <w:lang w:val="fr-FR"/>
        </w:rPr>
        <w:t> </w:t>
      </w:r>
      <w:r w:rsidR="003C71B5" w:rsidRPr="004618D5">
        <w:rPr>
          <w:lang w:val="fr-FR" w:eastAsia="en-GB"/>
        </w:rPr>
        <w:t>29</w:t>
      </w:r>
      <w:r w:rsidR="00615786" w:rsidRPr="004618D5">
        <w:rPr>
          <w:lang w:val="fr-FR"/>
        </w:rPr>
        <w:t xml:space="preserve"> ci</w:t>
      </w:r>
      <w:r w:rsidR="00615786" w:rsidRPr="004618D5">
        <w:rPr>
          <w:lang w:val="fr-FR"/>
        </w:rPr>
        <w:noBreakHyphen/>
      </w:r>
      <w:r w:rsidR="003E3C16" w:rsidRPr="004618D5">
        <w:rPr>
          <w:lang w:val="fr-FR"/>
        </w:rPr>
        <w:t>dessous</w:t>
      </w:r>
      <w:r w:rsidR="009E7A60" w:rsidRPr="004618D5">
        <w:rPr>
          <w:lang w:val="fr-FR"/>
        </w:rPr>
        <w:t>)</w:t>
      </w:r>
      <w:r w:rsidRPr="004618D5">
        <w:rPr>
          <w:lang w:val="fr-FR"/>
        </w:rPr>
        <w:t xml:space="preserve">, </w:t>
      </w:r>
      <w:r w:rsidRPr="004618D5">
        <w:rPr>
          <w:rStyle w:val="ECHRParaChar"/>
          <w:lang w:val="fr-FR"/>
        </w:rPr>
        <w:t>reconnaissant au partenaire d</w:t>
      </w:r>
      <w:r w:rsidR="004618D5" w:rsidRPr="004618D5">
        <w:rPr>
          <w:rStyle w:val="ECHRParaChar"/>
          <w:lang w:val="fr-FR"/>
        </w:rPr>
        <w:t>’</w:t>
      </w:r>
      <w:r w:rsidRPr="004618D5">
        <w:rPr>
          <w:rStyle w:val="ECHRParaChar"/>
          <w:lang w:val="fr-FR"/>
        </w:rPr>
        <w:t>un citoyen de l</w:t>
      </w:r>
      <w:r w:rsidR="004618D5" w:rsidRPr="004618D5">
        <w:rPr>
          <w:rStyle w:val="ECHRParaChar"/>
          <w:lang w:val="fr-FR"/>
        </w:rPr>
        <w:t>’</w:t>
      </w:r>
      <w:r w:rsidRPr="004618D5">
        <w:rPr>
          <w:rStyle w:val="ECHRParaChar"/>
          <w:lang w:val="fr-FR"/>
        </w:rPr>
        <w:t>Union</w:t>
      </w:r>
      <w:r w:rsidR="009E7A60" w:rsidRPr="004618D5">
        <w:rPr>
          <w:rStyle w:val="ECHRParaChar"/>
          <w:lang w:val="fr-FR"/>
        </w:rPr>
        <w:t xml:space="preserve"> européenne</w:t>
      </w:r>
      <w:r w:rsidR="00CD7784" w:rsidRPr="004618D5">
        <w:rPr>
          <w:rStyle w:val="ECHRParaChar"/>
          <w:lang w:val="fr-FR"/>
        </w:rPr>
        <w:t> </w:t>
      </w:r>
      <w:r w:rsidR="009E7A60" w:rsidRPr="004618D5">
        <w:rPr>
          <w:rStyle w:val="ECHRParaChar"/>
          <w:lang w:val="fr-FR"/>
        </w:rPr>
        <w:t>(UE)</w:t>
      </w:r>
      <w:r w:rsidRPr="004618D5">
        <w:rPr>
          <w:rStyle w:val="ECHRParaChar"/>
          <w:lang w:val="fr-FR"/>
        </w:rPr>
        <w:t xml:space="preserve"> le droit à obtenir un permis de séjour dès lors que l</w:t>
      </w:r>
      <w:r w:rsidR="004618D5" w:rsidRPr="004618D5">
        <w:rPr>
          <w:rStyle w:val="ECHRParaChar"/>
          <w:lang w:val="fr-FR"/>
        </w:rPr>
        <w:t>’</w:t>
      </w:r>
      <w:r w:rsidRPr="004618D5">
        <w:rPr>
          <w:rStyle w:val="ECHRParaChar"/>
          <w:lang w:val="fr-FR"/>
        </w:rPr>
        <w:t>existence d</w:t>
      </w:r>
      <w:r w:rsidR="004618D5" w:rsidRPr="004618D5">
        <w:rPr>
          <w:rStyle w:val="ECHRParaChar"/>
          <w:lang w:val="fr-FR"/>
        </w:rPr>
        <w:t>’</w:t>
      </w:r>
      <w:r w:rsidRPr="004618D5">
        <w:rPr>
          <w:rStyle w:val="ECHRParaChar"/>
          <w:lang w:val="fr-FR"/>
        </w:rPr>
        <w:t xml:space="preserve">une relation </w:t>
      </w:r>
      <w:r w:rsidR="009E7A60" w:rsidRPr="004618D5">
        <w:rPr>
          <w:rStyle w:val="ECHRParaChar"/>
          <w:lang w:val="fr-FR"/>
        </w:rPr>
        <w:t>durable</w:t>
      </w:r>
      <w:r w:rsidRPr="004618D5">
        <w:rPr>
          <w:rStyle w:val="ECHRParaChar"/>
          <w:lang w:val="fr-FR"/>
        </w:rPr>
        <w:t xml:space="preserve"> </w:t>
      </w:r>
      <w:r w:rsidR="00761480" w:rsidRPr="004618D5">
        <w:rPr>
          <w:rStyle w:val="ECHRParaChar"/>
          <w:lang w:val="fr-FR"/>
        </w:rPr>
        <w:t>était</w:t>
      </w:r>
      <w:r w:rsidRPr="004618D5">
        <w:rPr>
          <w:rStyle w:val="ECHRParaChar"/>
          <w:lang w:val="fr-FR"/>
        </w:rPr>
        <w:t xml:space="preserve"> prouvée.</w:t>
      </w:r>
    </w:p>
    <w:p w:rsidR="009E7A60" w:rsidRPr="004618D5" w:rsidRDefault="009E7A60" w:rsidP="004618D5">
      <w:pPr>
        <w:pStyle w:val="ECHRHeading2"/>
        <w:rPr>
          <w:lang w:val="fr-FR" w:eastAsia="en-GB"/>
        </w:rPr>
      </w:pPr>
      <w:r w:rsidRPr="004618D5">
        <w:rPr>
          <w:lang w:val="fr-FR" w:eastAsia="en-GB"/>
        </w:rPr>
        <w:t>C.  L</w:t>
      </w:r>
      <w:r w:rsidR="004618D5" w:rsidRPr="004618D5">
        <w:rPr>
          <w:lang w:val="fr-FR" w:eastAsia="en-GB"/>
        </w:rPr>
        <w:t>’</w:t>
      </w:r>
      <w:r w:rsidRPr="004618D5">
        <w:rPr>
          <w:lang w:val="fr-FR" w:eastAsia="en-GB"/>
        </w:rPr>
        <w:t xml:space="preserve">appel </w:t>
      </w:r>
      <w:r w:rsidR="008C07D5" w:rsidRPr="004618D5">
        <w:rPr>
          <w:lang w:val="fr-FR" w:eastAsia="en-GB"/>
        </w:rPr>
        <w:t>formé par le</w:t>
      </w:r>
      <w:r w:rsidRPr="004618D5">
        <w:rPr>
          <w:lang w:val="fr-FR" w:eastAsia="en-GB"/>
        </w:rPr>
        <w:t xml:space="preserve"> ministre des Affaires </w:t>
      </w:r>
      <w:r w:rsidR="00AD699C" w:rsidRPr="004618D5">
        <w:rPr>
          <w:lang w:val="fr-FR" w:eastAsia="en-GB"/>
        </w:rPr>
        <w:t>i</w:t>
      </w:r>
      <w:r w:rsidRPr="004618D5">
        <w:rPr>
          <w:lang w:val="fr-FR" w:eastAsia="en-GB"/>
        </w:rPr>
        <w:t>ntérieures</w:t>
      </w:r>
    </w:p>
    <w:p w:rsidR="00761480"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15</w:t>
      </w:r>
      <w:r w:rsidRPr="004618D5">
        <w:rPr>
          <w:lang w:val="fr-FR"/>
        </w:rPr>
        <w:fldChar w:fldCharType="end"/>
      </w:r>
      <w:r w:rsidRPr="004618D5">
        <w:rPr>
          <w:lang w:val="fr-FR"/>
        </w:rPr>
        <w:t xml:space="preserve">.  Le </w:t>
      </w:r>
      <w:r w:rsidR="00761480" w:rsidRPr="004618D5">
        <w:rPr>
          <w:lang w:val="fr-FR"/>
        </w:rPr>
        <w:t>m</w:t>
      </w:r>
      <w:r w:rsidRPr="004618D5">
        <w:rPr>
          <w:lang w:val="fr-FR"/>
        </w:rPr>
        <w:t>inist</w:t>
      </w:r>
      <w:r w:rsidR="009E7A60" w:rsidRPr="004618D5">
        <w:rPr>
          <w:lang w:val="fr-FR"/>
        </w:rPr>
        <w:t>re</w:t>
      </w:r>
      <w:r w:rsidRPr="004618D5">
        <w:rPr>
          <w:lang w:val="fr-FR"/>
        </w:rPr>
        <w:t xml:space="preserve"> de</w:t>
      </w:r>
      <w:r w:rsidR="009E7A60" w:rsidRPr="004618D5">
        <w:rPr>
          <w:lang w:val="fr-FR"/>
        </w:rPr>
        <w:t>s</w:t>
      </w:r>
      <w:r w:rsidRPr="004618D5">
        <w:rPr>
          <w:lang w:val="fr-FR"/>
        </w:rPr>
        <w:t xml:space="preserve"> </w:t>
      </w:r>
      <w:r w:rsidR="009E7A60" w:rsidRPr="004618D5">
        <w:rPr>
          <w:lang w:val="fr-FR"/>
        </w:rPr>
        <w:t xml:space="preserve">Affaires </w:t>
      </w:r>
      <w:r w:rsidR="00AD699C" w:rsidRPr="004618D5">
        <w:rPr>
          <w:lang w:val="fr-FR"/>
        </w:rPr>
        <w:t>i</w:t>
      </w:r>
      <w:r w:rsidRPr="004618D5">
        <w:rPr>
          <w:lang w:val="fr-FR"/>
        </w:rPr>
        <w:t>ntérieur</w:t>
      </w:r>
      <w:r w:rsidR="009E7A60" w:rsidRPr="004618D5">
        <w:rPr>
          <w:lang w:val="fr-FR"/>
        </w:rPr>
        <w:t>es</w:t>
      </w:r>
      <w:r w:rsidRPr="004618D5">
        <w:rPr>
          <w:lang w:val="fr-FR"/>
        </w:rPr>
        <w:t xml:space="preserve"> </w:t>
      </w:r>
      <w:r w:rsidR="009E7A60" w:rsidRPr="004618D5">
        <w:rPr>
          <w:lang w:val="fr-FR"/>
        </w:rPr>
        <w:t>interjeta</w:t>
      </w:r>
      <w:r w:rsidRPr="004618D5">
        <w:rPr>
          <w:lang w:val="fr-FR"/>
        </w:rPr>
        <w:t xml:space="preserve"> appel </w:t>
      </w:r>
      <w:r w:rsidR="002C15C8" w:rsidRPr="004618D5">
        <w:rPr>
          <w:lang w:val="fr-FR"/>
        </w:rPr>
        <w:t>du</w:t>
      </w:r>
      <w:r w:rsidRPr="004618D5">
        <w:rPr>
          <w:lang w:val="fr-FR"/>
        </w:rPr>
        <w:t xml:space="preserve"> jugement du tribunal</w:t>
      </w:r>
      <w:r w:rsidR="009E7A60" w:rsidRPr="004618D5">
        <w:rPr>
          <w:lang w:val="fr-FR"/>
        </w:rPr>
        <w:t xml:space="preserve"> de Florence</w:t>
      </w:r>
      <w:r w:rsidRPr="004618D5">
        <w:rPr>
          <w:lang w:val="fr-FR"/>
        </w:rPr>
        <w:t>.</w:t>
      </w:r>
    </w:p>
    <w:p w:rsidR="007E4D68" w:rsidRPr="004618D5" w:rsidRDefault="00761480"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16</w:t>
      </w:r>
      <w:r w:rsidRPr="004618D5">
        <w:rPr>
          <w:lang w:val="fr-FR"/>
        </w:rPr>
        <w:fldChar w:fldCharType="end"/>
      </w:r>
      <w:r w:rsidRPr="004618D5">
        <w:rPr>
          <w:lang w:val="fr-FR"/>
        </w:rPr>
        <w:t>.  </w:t>
      </w:r>
      <w:r w:rsidR="007E4D68" w:rsidRPr="004618D5">
        <w:rPr>
          <w:lang w:val="fr-FR"/>
        </w:rPr>
        <w:t>Par un arrêt du 12 mai 2006, la cour d</w:t>
      </w:r>
      <w:r w:rsidR="004618D5" w:rsidRPr="004618D5">
        <w:rPr>
          <w:lang w:val="fr-FR"/>
        </w:rPr>
        <w:t>’</w:t>
      </w:r>
      <w:r w:rsidR="007E4D68" w:rsidRPr="004618D5">
        <w:rPr>
          <w:lang w:val="fr-FR"/>
        </w:rPr>
        <w:t xml:space="preserve">appel de Florence </w:t>
      </w:r>
      <w:r w:rsidR="00DC3D20" w:rsidRPr="004618D5">
        <w:rPr>
          <w:lang w:val="fr-FR"/>
        </w:rPr>
        <w:t>fit droit à cet appel</w:t>
      </w:r>
      <w:r w:rsidR="007E4D68" w:rsidRPr="004618D5">
        <w:rPr>
          <w:lang w:val="fr-FR"/>
        </w:rPr>
        <w:t xml:space="preserve">. Elle </w:t>
      </w:r>
      <w:r w:rsidR="003E3C16" w:rsidRPr="004618D5">
        <w:rPr>
          <w:lang w:val="fr-FR"/>
        </w:rPr>
        <w:t xml:space="preserve">indiqua </w:t>
      </w:r>
      <w:r w:rsidR="007E4D68" w:rsidRPr="004618D5">
        <w:rPr>
          <w:lang w:val="fr-FR"/>
        </w:rPr>
        <w:t>que les autorités néo</w:t>
      </w:r>
      <w:r w:rsidR="00DE3DDA" w:rsidRPr="004618D5">
        <w:rPr>
          <w:lang w:val="fr-FR"/>
        </w:rPr>
        <w:t>-</w:t>
      </w:r>
      <w:r w:rsidR="007E4D68" w:rsidRPr="004618D5">
        <w:rPr>
          <w:lang w:val="fr-FR"/>
        </w:rPr>
        <w:t>zélandaises avaient reconnu aux requérants le statut de « partenaires concubins non</w:t>
      </w:r>
      <w:r w:rsidR="00AD699C" w:rsidRPr="004618D5">
        <w:rPr>
          <w:lang w:val="fr-FR"/>
        </w:rPr>
        <w:t xml:space="preserve"> </w:t>
      </w:r>
      <w:r w:rsidR="007E4D68" w:rsidRPr="004618D5">
        <w:rPr>
          <w:lang w:val="fr-FR"/>
        </w:rPr>
        <w:t>mariés » et non pas celui de « membres de la même famille ».</w:t>
      </w:r>
    </w:p>
    <w:p w:rsidR="007E4D68"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17</w:t>
      </w:r>
      <w:r w:rsidRPr="004618D5">
        <w:rPr>
          <w:lang w:val="fr-FR"/>
        </w:rPr>
        <w:fldChar w:fldCharType="end"/>
      </w:r>
      <w:r w:rsidRPr="004618D5">
        <w:rPr>
          <w:lang w:val="fr-FR"/>
        </w:rPr>
        <w:t>.  </w:t>
      </w:r>
      <w:r w:rsidR="003E3C16" w:rsidRPr="004618D5">
        <w:rPr>
          <w:lang w:val="fr-FR"/>
        </w:rPr>
        <w:t>D</w:t>
      </w:r>
      <w:r w:rsidR="004618D5" w:rsidRPr="004618D5">
        <w:rPr>
          <w:lang w:val="fr-FR"/>
        </w:rPr>
        <w:t>’</w:t>
      </w:r>
      <w:r w:rsidR="003E3C16" w:rsidRPr="004618D5">
        <w:rPr>
          <w:lang w:val="fr-FR"/>
        </w:rPr>
        <w:t>une part, s</w:t>
      </w:r>
      <w:r w:rsidRPr="004618D5">
        <w:rPr>
          <w:lang w:val="fr-FR"/>
        </w:rPr>
        <w:t>elon la cour d</w:t>
      </w:r>
      <w:r w:rsidR="004618D5" w:rsidRPr="004618D5">
        <w:rPr>
          <w:lang w:val="fr-FR"/>
        </w:rPr>
        <w:t>’</w:t>
      </w:r>
      <w:r w:rsidRPr="004618D5">
        <w:rPr>
          <w:lang w:val="fr-FR"/>
        </w:rPr>
        <w:t>appel, une lecture du décret législatif n</w:t>
      </w:r>
      <w:r w:rsidRPr="004618D5">
        <w:rPr>
          <w:vertAlign w:val="superscript"/>
          <w:lang w:val="fr-FR"/>
        </w:rPr>
        <w:t>o</w:t>
      </w:r>
      <w:r w:rsidR="00964429" w:rsidRPr="004618D5">
        <w:rPr>
          <w:vertAlign w:val="superscript"/>
          <w:lang w:val="fr-FR"/>
        </w:rPr>
        <w:t> </w:t>
      </w:r>
      <w:r w:rsidRPr="004618D5">
        <w:rPr>
          <w:lang w:val="fr-FR"/>
        </w:rPr>
        <w:t xml:space="preserve">286 </w:t>
      </w:r>
      <w:r w:rsidR="00761480" w:rsidRPr="004618D5">
        <w:rPr>
          <w:lang w:val="fr-FR"/>
        </w:rPr>
        <w:t xml:space="preserve">de 1998 </w:t>
      </w:r>
      <w:r w:rsidRPr="004618D5">
        <w:rPr>
          <w:lang w:val="fr-FR"/>
        </w:rPr>
        <w:t xml:space="preserve">telle que préconisée par le tribunal, </w:t>
      </w:r>
      <w:r w:rsidR="003E3C16" w:rsidRPr="004618D5">
        <w:rPr>
          <w:lang w:val="fr-FR"/>
        </w:rPr>
        <w:t xml:space="preserve">amenant à considérer </w:t>
      </w:r>
      <w:r w:rsidRPr="004618D5">
        <w:rPr>
          <w:lang w:val="fr-FR"/>
        </w:rPr>
        <w:t xml:space="preserve">le « concubin » </w:t>
      </w:r>
      <w:r w:rsidR="003E3C16" w:rsidRPr="004618D5">
        <w:rPr>
          <w:lang w:val="fr-FR"/>
        </w:rPr>
        <w:t>comme</w:t>
      </w:r>
      <w:r w:rsidRPr="004618D5">
        <w:rPr>
          <w:lang w:val="fr-FR"/>
        </w:rPr>
        <w:t xml:space="preserve"> </w:t>
      </w:r>
      <w:r w:rsidR="008C07D5" w:rsidRPr="004618D5">
        <w:rPr>
          <w:lang w:val="fr-FR"/>
        </w:rPr>
        <w:t xml:space="preserve">un </w:t>
      </w:r>
      <w:r w:rsidRPr="004618D5">
        <w:rPr>
          <w:lang w:val="fr-FR"/>
        </w:rPr>
        <w:t>« membre de la famille », n</w:t>
      </w:r>
      <w:r w:rsidR="004618D5" w:rsidRPr="004618D5">
        <w:rPr>
          <w:lang w:val="fr-FR"/>
        </w:rPr>
        <w:t>’</w:t>
      </w:r>
      <w:r w:rsidRPr="004618D5">
        <w:rPr>
          <w:lang w:val="fr-FR"/>
        </w:rPr>
        <w:t>était pas compatible avec le système juridique italien, lequel</w:t>
      </w:r>
      <w:r w:rsidR="003E3C16" w:rsidRPr="004618D5">
        <w:rPr>
          <w:lang w:val="fr-FR"/>
        </w:rPr>
        <w:t>, d</w:t>
      </w:r>
      <w:r w:rsidR="004618D5" w:rsidRPr="004618D5">
        <w:rPr>
          <w:lang w:val="fr-FR"/>
        </w:rPr>
        <w:t>’</w:t>
      </w:r>
      <w:r w:rsidR="003E3C16" w:rsidRPr="004618D5">
        <w:rPr>
          <w:lang w:val="fr-FR"/>
        </w:rPr>
        <w:t>après lui,</w:t>
      </w:r>
      <w:r w:rsidRPr="004618D5">
        <w:rPr>
          <w:lang w:val="fr-FR"/>
        </w:rPr>
        <w:t xml:space="preserve"> </w:t>
      </w:r>
      <w:r w:rsidR="00ED5520" w:rsidRPr="004618D5">
        <w:rPr>
          <w:lang w:val="fr-FR"/>
        </w:rPr>
        <w:t xml:space="preserve">donnait </w:t>
      </w:r>
      <w:r w:rsidRPr="004618D5">
        <w:rPr>
          <w:lang w:val="fr-FR"/>
        </w:rPr>
        <w:t xml:space="preserve">à ces deux </w:t>
      </w:r>
      <w:bookmarkStart w:id="2" w:name="OLE_LINK2"/>
      <w:r w:rsidRPr="004618D5">
        <w:rPr>
          <w:lang w:val="fr-FR"/>
        </w:rPr>
        <w:t xml:space="preserve">concepts juridiques </w:t>
      </w:r>
      <w:bookmarkEnd w:id="2"/>
      <w:r w:rsidRPr="004618D5">
        <w:rPr>
          <w:lang w:val="fr-FR"/>
        </w:rPr>
        <w:t>des portées et des significations différentes. D</w:t>
      </w:r>
      <w:r w:rsidR="004618D5" w:rsidRPr="004618D5">
        <w:rPr>
          <w:lang w:val="fr-FR"/>
        </w:rPr>
        <w:t>’</w:t>
      </w:r>
      <w:r w:rsidRPr="004618D5">
        <w:rPr>
          <w:lang w:val="fr-FR"/>
        </w:rPr>
        <w:t xml:space="preserve">autre part, </w:t>
      </w:r>
      <w:r w:rsidR="002C15C8" w:rsidRPr="004618D5">
        <w:rPr>
          <w:lang w:val="fr-FR"/>
        </w:rPr>
        <w:t>la cour d</w:t>
      </w:r>
      <w:r w:rsidR="004618D5" w:rsidRPr="004618D5">
        <w:rPr>
          <w:lang w:val="fr-FR"/>
        </w:rPr>
        <w:t>’</w:t>
      </w:r>
      <w:r w:rsidR="002C15C8" w:rsidRPr="004618D5">
        <w:rPr>
          <w:lang w:val="fr-FR"/>
        </w:rPr>
        <w:t>appel</w:t>
      </w:r>
      <w:r w:rsidR="00AD699C" w:rsidRPr="004618D5">
        <w:rPr>
          <w:lang w:val="fr-FR"/>
        </w:rPr>
        <w:t xml:space="preserve"> rappela que </w:t>
      </w:r>
      <w:r w:rsidRPr="004618D5">
        <w:rPr>
          <w:lang w:val="fr-FR"/>
        </w:rPr>
        <w:t xml:space="preserve">la </w:t>
      </w:r>
      <w:r w:rsidR="00AD699C" w:rsidRPr="004618D5">
        <w:rPr>
          <w:lang w:val="fr-FR"/>
        </w:rPr>
        <w:t>C</w:t>
      </w:r>
      <w:r w:rsidRPr="004618D5">
        <w:rPr>
          <w:lang w:val="fr-FR"/>
        </w:rPr>
        <w:t xml:space="preserve">our </w:t>
      </w:r>
      <w:r w:rsidR="00AD699C" w:rsidRPr="004618D5">
        <w:rPr>
          <w:lang w:val="fr-FR"/>
        </w:rPr>
        <w:t>c</w:t>
      </w:r>
      <w:r w:rsidRPr="004618D5">
        <w:rPr>
          <w:lang w:val="fr-FR"/>
        </w:rPr>
        <w:t>onstitutionnelle avait affirmé à maintes reprises qu</w:t>
      </w:r>
      <w:r w:rsidR="004618D5" w:rsidRPr="004618D5">
        <w:rPr>
          <w:lang w:val="fr-FR"/>
        </w:rPr>
        <w:t>’</w:t>
      </w:r>
      <w:r w:rsidRPr="004618D5">
        <w:rPr>
          <w:lang w:val="fr-FR"/>
        </w:rPr>
        <w:t>une relation fondée sur la simple cohabitation, dépourvue de stabilité et de certitude juridique, ne p</w:t>
      </w:r>
      <w:r w:rsidR="00761480" w:rsidRPr="004618D5">
        <w:rPr>
          <w:lang w:val="fr-FR"/>
        </w:rPr>
        <w:t>ouvait</w:t>
      </w:r>
      <w:r w:rsidRPr="004618D5">
        <w:rPr>
          <w:lang w:val="fr-FR"/>
        </w:rPr>
        <w:t xml:space="preserve"> en aucun cas être assimilée à la famille légitime fondée sur </w:t>
      </w:r>
      <w:r w:rsidR="00DC3D20" w:rsidRPr="004618D5">
        <w:rPr>
          <w:lang w:val="fr-FR"/>
        </w:rPr>
        <w:t>le</w:t>
      </w:r>
      <w:r w:rsidRPr="004618D5">
        <w:rPr>
          <w:lang w:val="fr-FR"/>
        </w:rPr>
        <w:t xml:space="preserve"> mariage.</w:t>
      </w:r>
    </w:p>
    <w:p w:rsidR="007E4D68"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18</w:t>
      </w:r>
      <w:r w:rsidRPr="004618D5">
        <w:rPr>
          <w:lang w:val="fr-FR"/>
        </w:rPr>
        <w:fldChar w:fldCharType="end"/>
      </w:r>
      <w:r w:rsidRPr="004618D5">
        <w:rPr>
          <w:lang w:val="fr-FR"/>
        </w:rPr>
        <w:t>.  </w:t>
      </w:r>
      <w:r w:rsidR="008C07D5" w:rsidRPr="004618D5">
        <w:rPr>
          <w:lang w:val="fr-FR"/>
        </w:rPr>
        <w:t xml:space="preserve">La </w:t>
      </w:r>
      <w:r w:rsidR="00ED5520" w:rsidRPr="004618D5">
        <w:rPr>
          <w:lang w:val="fr-FR"/>
        </w:rPr>
        <w:t>c</w:t>
      </w:r>
      <w:r w:rsidR="008C07D5" w:rsidRPr="004618D5">
        <w:rPr>
          <w:lang w:val="fr-FR"/>
        </w:rPr>
        <w:t>our d</w:t>
      </w:r>
      <w:r w:rsidR="004618D5" w:rsidRPr="004618D5">
        <w:rPr>
          <w:lang w:val="fr-FR"/>
        </w:rPr>
        <w:t>’</w:t>
      </w:r>
      <w:r w:rsidR="008C07D5" w:rsidRPr="004618D5">
        <w:rPr>
          <w:lang w:val="fr-FR"/>
        </w:rPr>
        <w:t>appel</w:t>
      </w:r>
      <w:r w:rsidRPr="004618D5">
        <w:rPr>
          <w:lang w:val="fr-FR"/>
        </w:rPr>
        <w:t xml:space="preserve"> </w:t>
      </w:r>
      <w:r w:rsidR="003E3C16" w:rsidRPr="004618D5">
        <w:rPr>
          <w:lang w:val="fr-FR"/>
        </w:rPr>
        <w:t xml:space="preserve">estima </w:t>
      </w:r>
      <w:r w:rsidRPr="004618D5">
        <w:rPr>
          <w:lang w:val="fr-FR"/>
        </w:rPr>
        <w:t>que la loi néo</w:t>
      </w:r>
      <w:r w:rsidR="00DE3DDA" w:rsidRPr="004618D5">
        <w:rPr>
          <w:lang w:val="fr-FR"/>
        </w:rPr>
        <w:t>-</w:t>
      </w:r>
      <w:r w:rsidRPr="004618D5">
        <w:rPr>
          <w:lang w:val="fr-FR"/>
        </w:rPr>
        <w:t xml:space="preserve">zélandaise </w:t>
      </w:r>
      <w:r w:rsidR="008C07D5" w:rsidRPr="004618D5">
        <w:rPr>
          <w:lang w:val="fr-FR"/>
        </w:rPr>
        <w:t>ne cadrait pas avec</w:t>
      </w:r>
      <w:r w:rsidRPr="004618D5">
        <w:rPr>
          <w:lang w:val="fr-FR"/>
        </w:rPr>
        <w:t xml:space="preserve"> l</w:t>
      </w:r>
      <w:r w:rsidR="004618D5" w:rsidRPr="004618D5">
        <w:rPr>
          <w:lang w:val="fr-FR"/>
        </w:rPr>
        <w:t>’</w:t>
      </w:r>
      <w:r w:rsidRPr="004618D5">
        <w:rPr>
          <w:lang w:val="fr-FR"/>
        </w:rPr>
        <w:t xml:space="preserve">ordre public italien </w:t>
      </w:r>
      <w:r w:rsidR="003E3C16" w:rsidRPr="004618D5">
        <w:rPr>
          <w:lang w:val="fr-FR"/>
        </w:rPr>
        <w:t>au</w:t>
      </w:r>
      <w:r w:rsidR="008C07D5" w:rsidRPr="004618D5">
        <w:rPr>
          <w:lang w:val="fr-FR"/>
        </w:rPr>
        <w:t>x</w:t>
      </w:r>
      <w:r w:rsidR="003E3C16" w:rsidRPr="004618D5">
        <w:rPr>
          <w:lang w:val="fr-FR"/>
        </w:rPr>
        <w:t xml:space="preserve"> motif</w:t>
      </w:r>
      <w:r w:rsidR="008C07D5" w:rsidRPr="004618D5">
        <w:rPr>
          <w:lang w:val="fr-FR"/>
        </w:rPr>
        <w:t>s</w:t>
      </w:r>
      <w:r w:rsidR="003E3C16" w:rsidRPr="004618D5">
        <w:rPr>
          <w:lang w:val="fr-FR"/>
        </w:rPr>
        <w:t xml:space="preserve"> </w:t>
      </w:r>
      <w:r w:rsidR="008C07D5" w:rsidRPr="004618D5">
        <w:rPr>
          <w:lang w:val="fr-FR"/>
        </w:rPr>
        <w:t>tout d</w:t>
      </w:r>
      <w:r w:rsidR="004618D5" w:rsidRPr="004618D5">
        <w:rPr>
          <w:lang w:val="fr-FR"/>
        </w:rPr>
        <w:t>’</w:t>
      </w:r>
      <w:r w:rsidR="008C07D5" w:rsidRPr="004618D5">
        <w:rPr>
          <w:lang w:val="fr-FR"/>
        </w:rPr>
        <w:t xml:space="preserve">abord </w:t>
      </w:r>
      <w:r w:rsidR="002C15C8" w:rsidRPr="004618D5">
        <w:rPr>
          <w:lang w:val="fr-FR"/>
        </w:rPr>
        <w:t>qu</w:t>
      </w:r>
      <w:r w:rsidR="004618D5" w:rsidRPr="004618D5">
        <w:rPr>
          <w:lang w:val="fr-FR"/>
        </w:rPr>
        <w:t>’</w:t>
      </w:r>
      <w:r w:rsidRPr="004618D5">
        <w:rPr>
          <w:lang w:val="fr-FR"/>
        </w:rPr>
        <w:t xml:space="preserve">elle </w:t>
      </w:r>
      <w:r w:rsidR="00DC3D20" w:rsidRPr="004618D5">
        <w:rPr>
          <w:lang w:val="fr-FR"/>
        </w:rPr>
        <w:t>considérait comme</w:t>
      </w:r>
      <w:r w:rsidRPr="004618D5">
        <w:rPr>
          <w:lang w:val="fr-FR"/>
        </w:rPr>
        <w:t xml:space="preserve"> </w:t>
      </w:r>
      <w:r w:rsidR="00DC3D20" w:rsidRPr="004618D5">
        <w:rPr>
          <w:lang w:val="fr-FR"/>
        </w:rPr>
        <w:t>« </w:t>
      </w:r>
      <w:r w:rsidRPr="004618D5">
        <w:rPr>
          <w:lang w:val="fr-FR"/>
        </w:rPr>
        <w:t>concubin</w:t>
      </w:r>
      <w:r w:rsidR="00DC3D20" w:rsidRPr="004618D5">
        <w:rPr>
          <w:lang w:val="fr-FR"/>
        </w:rPr>
        <w:t>s »</w:t>
      </w:r>
      <w:r w:rsidRPr="004618D5">
        <w:rPr>
          <w:lang w:val="fr-FR"/>
        </w:rPr>
        <w:t xml:space="preserve"> des personnes d</w:t>
      </w:r>
      <w:r w:rsidR="002A0F29" w:rsidRPr="004618D5">
        <w:rPr>
          <w:lang w:val="fr-FR"/>
        </w:rPr>
        <w:t>e</w:t>
      </w:r>
      <w:r w:rsidRPr="004618D5">
        <w:rPr>
          <w:lang w:val="fr-FR"/>
        </w:rPr>
        <w:t xml:space="preserve"> même sexe</w:t>
      </w:r>
      <w:r w:rsidR="00AD699C" w:rsidRPr="004618D5">
        <w:rPr>
          <w:lang w:val="fr-FR"/>
        </w:rPr>
        <w:t xml:space="preserve"> et que</w:t>
      </w:r>
      <w:r w:rsidR="008C07D5" w:rsidRPr="004618D5">
        <w:rPr>
          <w:lang w:val="fr-FR"/>
        </w:rPr>
        <w:t>, qui plus est,</w:t>
      </w:r>
      <w:r w:rsidR="00AD699C" w:rsidRPr="004618D5">
        <w:rPr>
          <w:lang w:val="fr-FR"/>
        </w:rPr>
        <w:t xml:space="preserve"> </w:t>
      </w:r>
      <w:r w:rsidR="008C07D5" w:rsidRPr="004618D5">
        <w:rPr>
          <w:lang w:val="fr-FR"/>
        </w:rPr>
        <w:t>elle pouvait</w:t>
      </w:r>
      <w:r w:rsidRPr="004618D5">
        <w:rPr>
          <w:lang w:val="fr-FR"/>
        </w:rPr>
        <w:t xml:space="preserve"> être interprétée comme </w:t>
      </w:r>
      <w:r w:rsidR="008C07D5" w:rsidRPr="004618D5">
        <w:rPr>
          <w:lang w:val="fr-FR"/>
        </w:rPr>
        <w:t xml:space="preserve">conférant </w:t>
      </w:r>
      <w:r w:rsidRPr="004618D5">
        <w:rPr>
          <w:lang w:val="fr-FR"/>
        </w:rPr>
        <w:t>à ces personnes la qualité de</w:t>
      </w:r>
      <w:r w:rsidR="00D937EF" w:rsidRPr="004618D5">
        <w:rPr>
          <w:lang w:val="fr-FR"/>
        </w:rPr>
        <w:t xml:space="preserve"> </w:t>
      </w:r>
      <w:r w:rsidRPr="004618D5">
        <w:rPr>
          <w:lang w:val="fr-FR"/>
        </w:rPr>
        <w:t>« membre</w:t>
      </w:r>
      <w:r w:rsidR="00DC3D20" w:rsidRPr="004618D5">
        <w:rPr>
          <w:lang w:val="fr-FR"/>
        </w:rPr>
        <w:t>s</w:t>
      </w:r>
      <w:r w:rsidRPr="004618D5">
        <w:rPr>
          <w:lang w:val="fr-FR"/>
        </w:rPr>
        <w:t xml:space="preserve"> de la famille » aux fins de </w:t>
      </w:r>
      <w:r w:rsidR="008C07D5" w:rsidRPr="004618D5">
        <w:rPr>
          <w:lang w:val="fr-FR"/>
        </w:rPr>
        <w:t>l</w:t>
      </w:r>
      <w:r w:rsidR="004618D5" w:rsidRPr="004618D5">
        <w:rPr>
          <w:lang w:val="fr-FR"/>
        </w:rPr>
        <w:t>’</w:t>
      </w:r>
      <w:r w:rsidR="008C07D5" w:rsidRPr="004618D5">
        <w:rPr>
          <w:lang w:val="fr-FR"/>
        </w:rPr>
        <w:t>octroi à celles-ci</w:t>
      </w:r>
      <w:r w:rsidR="00AD699C" w:rsidRPr="004618D5">
        <w:rPr>
          <w:lang w:val="fr-FR"/>
        </w:rPr>
        <w:t xml:space="preserve"> </w:t>
      </w:r>
      <w:r w:rsidRPr="004618D5">
        <w:rPr>
          <w:lang w:val="fr-FR"/>
        </w:rPr>
        <w:t xml:space="preserve">du permis de séjour. Enfin, </w:t>
      </w:r>
      <w:r w:rsidR="000E14D4" w:rsidRPr="004618D5">
        <w:rPr>
          <w:lang w:val="fr-FR"/>
        </w:rPr>
        <w:t xml:space="preserve">elle ajouta que </w:t>
      </w:r>
      <w:r w:rsidRPr="004618D5">
        <w:rPr>
          <w:lang w:val="fr-FR"/>
        </w:rPr>
        <w:t>ni le droit européen, notamment la directive n</w:t>
      </w:r>
      <w:r w:rsidRPr="004618D5">
        <w:rPr>
          <w:vertAlign w:val="superscript"/>
          <w:lang w:val="fr-FR"/>
        </w:rPr>
        <w:t>o</w:t>
      </w:r>
      <w:r w:rsidRPr="004618D5">
        <w:rPr>
          <w:lang w:val="fr-FR"/>
        </w:rPr>
        <w:t> 2004/38/CE</w:t>
      </w:r>
      <w:r w:rsidR="00DC3D20" w:rsidRPr="004618D5">
        <w:rPr>
          <w:lang w:val="fr-FR"/>
        </w:rPr>
        <w:t xml:space="preserve"> (paragraphe</w:t>
      </w:r>
      <w:r w:rsidR="00CA5B51" w:rsidRPr="004618D5">
        <w:rPr>
          <w:lang w:val="fr-FR"/>
        </w:rPr>
        <w:t> </w:t>
      </w:r>
      <w:r w:rsidR="003C71B5" w:rsidRPr="004618D5">
        <w:rPr>
          <w:lang w:val="fr-FR" w:eastAsia="en-GB"/>
        </w:rPr>
        <w:t>29</w:t>
      </w:r>
      <w:r w:rsidR="00DC3D20" w:rsidRPr="004618D5">
        <w:rPr>
          <w:lang w:val="fr-FR"/>
        </w:rPr>
        <w:t xml:space="preserve"> ci-</w:t>
      </w:r>
      <w:r w:rsidR="003E3C16" w:rsidRPr="004618D5">
        <w:rPr>
          <w:lang w:val="fr-FR"/>
        </w:rPr>
        <w:t>dessous</w:t>
      </w:r>
      <w:r w:rsidR="00DC3D20" w:rsidRPr="004618D5">
        <w:rPr>
          <w:lang w:val="fr-FR"/>
        </w:rPr>
        <w:t>)</w:t>
      </w:r>
      <w:r w:rsidRPr="004618D5">
        <w:rPr>
          <w:lang w:val="fr-FR"/>
        </w:rPr>
        <w:t>, ni les dispositions de la Convention européenne des droits de l</w:t>
      </w:r>
      <w:r w:rsidR="004618D5" w:rsidRPr="004618D5">
        <w:rPr>
          <w:lang w:val="fr-FR"/>
        </w:rPr>
        <w:t>’</w:t>
      </w:r>
      <w:r w:rsidRPr="004618D5">
        <w:rPr>
          <w:lang w:val="fr-FR"/>
        </w:rPr>
        <w:t>homme n</w:t>
      </w:r>
      <w:r w:rsidR="004618D5" w:rsidRPr="004618D5">
        <w:rPr>
          <w:lang w:val="fr-FR"/>
        </w:rPr>
        <w:t>’</w:t>
      </w:r>
      <w:r w:rsidR="00761480" w:rsidRPr="004618D5">
        <w:rPr>
          <w:lang w:val="fr-FR"/>
        </w:rPr>
        <w:t>obligeaient</w:t>
      </w:r>
      <w:r w:rsidRPr="004618D5">
        <w:rPr>
          <w:lang w:val="fr-FR"/>
        </w:rPr>
        <w:t xml:space="preserve"> </w:t>
      </w:r>
      <w:r w:rsidR="00761480" w:rsidRPr="004618D5">
        <w:rPr>
          <w:lang w:val="fr-FR"/>
        </w:rPr>
        <w:t>les</w:t>
      </w:r>
      <w:r w:rsidRPr="004618D5">
        <w:rPr>
          <w:lang w:val="fr-FR"/>
        </w:rPr>
        <w:t xml:space="preserve"> États </w:t>
      </w:r>
      <w:r w:rsidR="00761480" w:rsidRPr="004618D5">
        <w:rPr>
          <w:lang w:val="fr-FR"/>
        </w:rPr>
        <w:t>à reconnaître l</w:t>
      </w:r>
      <w:r w:rsidRPr="004618D5">
        <w:rPr>
          <w:lang w:val="fr-FR"/>
        </w:rPr>
        <w:t>es relations entre personnes d</w:t>
      </w:r>
      <w:r w:rsidR="002A0F29" w:rsidRPr="004618D5">
        <w:rPr>
          <w:lang w:val="fr-FR"/>
        </w:rPr>
        <w:t>e</w:t>
      </w:r>
      <w:r w:rsidRPr="004618D5">
        <w:rPr>
          <w:lang w:val="fr-FR"/>
        </w:rPr>
        <w:t xml:space="preserve"> même sexe.</w:t>
      </w:r>
    </w:p>
    <w:p w:rsidR="009E7A60" w:rsidRPr="004618D5" w:rsidRDefault="009E7A60" w:rsidP="004618D5">
      <w:pPr>
        <w:pStyle w:val="ECHRHeading2"/>
        <w:rPr>
          <w:lang w:val="fr-FR"/>
        </w:rPr>
      </w:pPr>
      <w:r w:rsidRPr="004618D5">
        <w:rPr>
          <w:lang w:val="fr-FR"/>
        </w:rPr>
        <w:t>D.  Le pourvoi en cassation des requérants</w:t>
      </w:r>
    </w:p>
    <w:p w:rsidR="00761480"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19</w:t>
      </w:r>
      <w:r w:rsidRPr="004618D5">
        <w:rPr>
          <w:lang w:val="fr-FR"/>
        </w:rPr>
        <w:fldChar w:fldCharType="end"/>
      </w:r>
      <w:r w:rsidRPr="004618D5">
        <w:rPr>
          <w:lang w:val="fr-FR"/>
        </w:rPr>
        <w:t xml:space="preserve">.  Les requérants se pourvurent en </w:t>
      </w:r>
      <w:r w:rsidR="000E14D4" w:rsidRPr="004618D5">
        <w:rPr>
          <w:lang w:val="fr-FR"/>
        </w:rPr>
        <w:t>c</w:t>
      </w:r>
      <w:r w:rsidR="000727FD" w:rsidRPr="004618D5">
        <w:rPr>
          <w:lang w:val="fr-FR"/>
        </w:rPr>
        <w:t>assation.</w:t>
      </w:r>
    </w:p>
    <w:p w:rsidR="00DC3D20" w:rsidRPr="004618D5" w:rsidRDefault="00761480"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20</w:t>
      </w:r>
      <w:r w:rsidRPr="004618D5">
        <w:rPr>
          <w:lang w:val="fr-FR"/>
        </w:rPr>
        <w:fldChar w:fldCharType="end"/>
      </w:r>
      <w:r w:rsidRPr="004618D5">
        <w:rPr>
          <w:lang w:val="fr-FR"/>
        </w:rPr>
        <w:t>.  </w:t>
      </w:r>
      <w:r w:rsidR="007E4D68" w:rsidRPr="004618D5">
        <w:rPr>
          <w:lang w:val="fr-FR"/>
        </w:rPr>
        <w:t xml:space="preserve">Par un arrêt du 30 septembre 2008, </w:t>
      </w:r>
      <w:r w:rsidRPr="004618D5">
        <w:rPr>
          <w:lang w:val="fr-FR"/>
        </w:rPr>
        <w:t xml:space="preserve">dont le texte fut </w:t>
      </w:r>
      <w:r w:rsidR="007E4D68" w:rsidRPr="004618D5">
        <w:rPr>
          <w:lang w:val="fr-FR"/>
        </w:rPr>
        <w:t>déposé</w:t>
      </w:r>
      <w:r w:rsidRPr="004618D5">
        <w:rPr>
          <w:lang w:val="fr-FR"/>
        </w:rPr>
        <w:t xml:space="preserve"> au greffe </w:t>
      </w:r>
      <w:r w:rsidR="007E4D68" w:rsidRPr="004618D5">
        <w:rPr>
          <w:lang w:val="fr-FR"/>
        </w:rPr>
        <w:t xml:space="preserve">le 17 mars 2009, la </w:t>
      </w:r>
      <w:r w:rsidRPr="004618D5">
        <w:rPr>
          <w:lang w:val="fr-FR"/>
        </w:rPr>
        <w:t>Cour de cassation</w:t>
      </w:r>
      <w:r w:rsidR="007E4D68" w:rsidRPr="004618D5">
        <w:rPr>
          <w:lang w:val="fr-FR"/>
        </w:rPr>
        <w:t xml:space="preserve"> débouta les requérants</w:t>
      </w:r>
      <w:r w:rsidRPr="004618D5">
        <w:rPr>
          <w:lang w:val="fr-FR"/>
        </w:rPr>
        <w:t xml:space="preserve"> de leur pourvoi</w:t>
      </w:r>
      <w:r w:rsidR="000727FD" w:rsidRPr="004618D5">
        <w:rPr>
          <w:lang w:val="fr-FR"/>
        </w:rPr>
        <w:t>.</w:t>
      </w:r>
    </w:p>
    <w:p w:rsidR="007E4D68" w:rsidRPr="004618D5" w:rsidRDefault="00DC3D20"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21</w:t>
      </w:r>
      <w:r w:rsidRPr="004618D5">
        <w:rPr>
          <w:lang w:val="fr-FR"/>
        </w:rPr>
        <w:fldChar w:fldCharType="end"/>
      </w:r>
      <w:r w:rsidRPr="004618D5">
        <w:rPr>
          <w:lang w:val="fr-FR"/>
        </w:rPr>
        <w:t>.  La Cour de cassation</w:t>
      </w:r>
      <w:r w:rsidR="007E4D68" w:rsidRPr="004618D5">
        <w:rPr>
          <w:lang w:val="fr-FR"/>
        </w:rPr>
        <w:t xml:space="preserve"> </w:t>
      </w:r>
      <w:r w:rsidR="003E3C16" w:rsidRPr="004618D5">
        <w:rPr>
          <w:lang w:val="fr-FR"/>
        </w:rPr>
        <w:t xml:space="preserve">exposa </w:t>
      </w:r>
      <w:r w:rsidR="007E4D68" w:rsidRPr="004618D5">
        <w:rPr>
          <w:lang w:val="fr-FR"/>
        </w:rPr>
        <w:t>d</w:t>
      </w:r>
      <w:r w:rsidR="004618D5" w:rsidRPr="004618D5">
        <w:rPr>
          <w:lang w:val="fr-FR"/>
        </w:rPr>
        <w:t>’</w:t>
      </w:r>
      <w:r w:rsidR="007E4D68" w:rsidRPr="004618D5">
        <w:rPr>
          <w:lang w:val="fr-FR"/>
        </w:rPr>
        <w:t>abord qu</w:t>
      </w:r>
      <w:r w:rsidR="003E3C16" w:rsidRPr="004618D5">
        <w:rPr>
          <w:lang w:val="fr-FR"/>
        </w:rPr>
        <w:t xml:space="preserve">e, </w:t>
      </w:r>
      <w:r w:rsidR="007E4D68" w:rsidRPr="004618D5">
        <w:rPr>
          <w:lang w:val="fr-FR"/>
        </w:rPr>
        <w:t>aux termes de l</w:t>
      </w:r>
      <w:r w:rsidR="004618D5" w:rsidRPr="004618D5">
        <w:rPr>
          <w:lang w:val="fr-FR"/>
        </w:rPr>
        <w:t>’</w:t>
      </w:r>
      <w:r w:rsidR="007E4D68" w:rsidRPr="004618D5">
        <w:rPr>
          <w:lang w:val="fr-FR"/>
        </w:rPr>
        <w:t>article</w:t>
      </w:r>
      <w:r w:rsidR="001966C9" w:rsidRPr="004618D5">
        <w:rPr>
          <w:lang w:val="fr-FR"/>
        </w:rPr>
        <w:t> </w:t>
      </w:r>
      <w:r w:rsidR="007E4D68" w:rsidRPr="004618D5">
        <w:rPr>
          <w:lang w:val="fr-FR"/>
        </w:rPr>
        <w:t>29 du décret</w:t>
      </w:r>
      <w:r w:rsidR="00761480" w:rsidRPr="004618D5">
        <w:rPr>
          <w:lang w:val="fr-FR"/>
        </w:rPr>
        <w:t xml:space="preserve"> législatif </w:t>
      </w:r>
      <w:r w:rsidR="007E4D68" w:rsidRPr="004618D5">
        <w:rPr>
          <w:lang w:val="fr-FR"/>
        </w:rPr>
        <w:t>n</w:t>
      </w:r>
      <w:r w:rsidR="007E4D68" w:rsidRPr="004618D5">
        <w:rPr>
          <w:vertAlign w:val="superscript"/>
          <w:lang w:val="fr-FR"/>
        </w:rPr>
        <w:t>o</w:t>
      </w:r>
      <w:r w:rsidR="00761480" w:rsidRPr="004618D5">
        <w:rPr>
          <w:vertAlign w:val="superscript"/>
          <w:lang w:val="fr-FR"/>
        </w:rPr>
        <w:t> </w:t>
      </w:r>
      <w:r w:rsidR="007E4D68" w:rsidRPr="004618D5">
        <w:rPr>
          <w:lang w:val="fr-FR"/>
        </w:rPr>
        <w:t>286</w:t>
      </w:r>
      <w:r w:rsidR="00761480" w:rsidRPr="004618D5">
        <w:rPr>
          <w:lang w:val="fr-FR"/>
        </w:rPr>
        <w:t xml:space="preserve"> de 1998</w:t>
      </w:r>
      <w:r w:rsidR="001966C9" w:rsidRPr="004618D5">
        <w:rPr>
          <w:lang w:val="fr-FR"/>
        </w:rPr>
        <w:t xml:space="preserve"> (paragraphe </w:t>
      </w:r>
      <w:r w:rsidR="003C71B5" w:rsidRPr="004618D5">
        <w:rPr>
          <w:lang w:val="fr-FR"/>
        </w:rPr>
        <w:t>28</w:t>
      </w:r>
      <w:r w:rsidR="001966C9" w:rsidRPr="004618D5">
        <w:rPr>
          <w:lang w:val="fr-FR"/>
        </w:rPr>
        <w:t xml:space="preserve"> ci-</w:t>
      </w:r>
      <w:r w:rsidR="003E3C16" w:rsidRPr="004618D5">
        <w:rPr>
          <w:lang w:val="fr-FR"/>
        </w:rPr>
        <w:t>dessous</w:t>
      </w:r>
      <w:r w:rsidR="001966C9" w:rsidRPr="004618D5">
        <w:rPr>
          <w:lang w:val="fr-FR"/>
        </w:rPr>
        <w:t>)</w:t>
      </w:r>
      <w:r w:rsidR="007E4D68" w:rsidRPr="004618D5">
        <w:rPr>
          <w:lang w:val="fr-FR"/>
        </w:rPr>
        <w:t xml:space="preserve">, la notion de </w:t>
      </w:r>
      <w:r w:rsidR="007E4D68" w:rsidRPr="004618D5">
        <w:rPr>
          <w:lang w:val="fr-FR"/>
        </w:rPr>
        <w:lastRenderedPageBreak/>
        <w:t>« membre de la famille » ne compren</w:t>
      </w:r>
      <w:r w:rsidR="00761480" w:rsidRPr="004618D5">
        <w:rPr>
          <w:lang w:val="fr-FR"/>
        </w:rPr>
        <w:t>ait</w:t>
      </w:r>
      <w:r w:rsidR="007E4D68" w:rsidRPr="004618D5">
        <w:rPr>
          <w:lang w:val="fr-FR"/>
        </w:rPr>
        <w:t xml:space="preserve"> que les époux, les enfants mineurs, les enfants majeurs qui n</w:t>
      </w:r>
      <w:r w:rsidR="004618D5" w:rsidRPr="004618D5">
        <w:rPr>
          <w:lang w:val="fr-FR"/>
        </w:rPr>
        <w:t>’</w:t>
      </w:r>
      <w:r w:rsidR="00761480" w:rsidRPr="004618D5">
        <w:rPr>
          <w:lang w:val="fr-FR"/>
        </w:rPr>
        <w:t>étaient</w:t>
      </w:r>
      <w:r w:rsidR="007E4D68" w:rsidRPr="004618D5">
        <w:rPr>
          <w:lang w:val="fr-FR"/>
        </w:rPr>
        <w:t xml:space="preserve"> pas autonomes pour raisons de santé et les parents à charge ne disposant pas de soutien adéquat dans le</w:t>
      </w:r>
      <w:r w:rsidR="000E14D4" w:rsidRPr="004618D5">
        <w:rPr>
          <w:lang w:val="fr-FR"/>
        </w:rPr>
        <w:t>ur</w:t>
      </w:r>
      <w:r w:rsidR="007E4D68" w:rsidRPr="004618D5">
        <w:rPr>
          <w:lang w:val="fr-FR"/>
        </w:rPr>
        <w:t xml:space="preserve"> pays d</w:t>
      </w:r>
      <w:r w:rsidR="004618D5" w:rsidRPr="004618D5">
        <w:rPr>
          <w:lang w:val="fr-FR"/>
        </w:rPr>
        <w:t>’</w:t>
      </w:r>
      <w:r w:rsidR="007E4D68" w:rsidRPr="004618D5">
        <w:rPr>
          <w:lang w:val="fr-FR"/>
        </w:rPr>
        <w:t>origine. E</w:t>
      </w:r>
      <w:r w:rsidR="000E14D4" w:rsidRPr="004618D5">
        <w:rPr>
          <w:lang w:val="fr-FR"/>
        </w:rPr>
        <w:t xml:space="preserve">lle </w:t>
      </w:r>
      <w:r w:rsidR="008C07D5" w:rsidRPr="004618D5">
        <w:rPr>
          <w:lang w:val="fr-FR"/>
        </w:rPr>
        <w:t>indiqua</w:t>
      </w:r>
      <w:r w:rsidR="000E14D4" w:rsidRPr="004618D5">
        <w:rPr>
          <w:lang w:val="fr-FR"/>
        </w:rPr>
        <w:t xml:space="preserve"> que, e</w:t>
      </w:r>
      <w:r w:rsidR="007E4D68" w:rsidRPr="004618D5">
        <w:rPr>
          <w:lang w:val="fr-FR"/>
        </w:rPr>
        <w:t xml:space="preserve">n outre, la Cour </w:t>
      </w:r>
      <w:r w:rsidR="000E14D4" w:rsidRPr="004618D5">
        <w:rPr>
          <w:lang w:val="fr-FR"/>
        </w:rPr>
        <w:t>c</w:t>
      </w:r>
      <w:r w:rsidR="007E4D68" w:rsidRPr="004618D5">
        <w:rPr>
          <w:lang w:val="fr-FR"/>
        </w:rPr>
        <w:t>onstitutionnelle ayant exclu la possibilité d</w:t>
      </w:r>
      <w:r w:rsidR="004618D5" w:rsidRPr="004618D5">
        <w:rPr>
          <w:lang w:val="fr-FR"/>
        </w:rPr>
        <w:t>’</w:t>
      </w:r>
      <w:r w:rsidR="007E4D68" w:rsidRPr="004618D5">
        <w:rPr>
          <w:lang w:val="fr-FR"/>
        </w:rPr>
        <w:t>élargir aux concubins la protection reconnue aux membres de la famille légitime</w:t>
      </w:r>
      <w:r w:rsidR="002C15C8" w:rsidRPr="004618D5">
        <w:rPr>
          <w:lang w:val="fr-FR"/>
        </w:rPr>
        <w:t>, la Constitution n</w:t>
      </w:r>
      <w:r w:rsidR="004618D5" w:rsidRPr="004618D5">
        <w:rPr>
          <w:lang w:val="fr-FR"/>
        </w:rPr>
        <w:t>’</w:t>
      </w:r>
      <w:r w:rsidR="002C15C8" w:rsidRPr="004618D5">
        <w:rPr>
          <w:lang w:val="fr-FR"/>
        </w:rPr>
        <w:t>imposait pas</w:t>
      </w:r>
      <w:r w:rsidR="007E4D68" w:rsidRPr="004618D5">
        <w:rPr>
          <w:lang w:val="fr-FR"/>
        </w:rPr>
        <w:t xml:space="preserve"> une interprétation extensive de l</w:t>
      </w:r>
      <w:r w:rsidR="004618D5" w:rsidRPr="004618D5">
        <w:rPr>
          <w:lang w:val="fr-FR"/>
        </w:rPr>
        <w:t>’</w:t>
      </w:r>
      <w:r w:rsidR="007E4D68" w:rsidRPr="004618D5">
        <w:rPr>
          <w:lang w:val="fr-FR"/>
        </w:rPr>
        <w:t xml:space="preserve">article 29 </w:t>
      </w:r>
      <w:r w:rsidR="00761480" w:rsidRPr="004618D5">
        <w:rPr>
          <w:lang w:val="fr-FR"/>
        </w:rPr>
        <w:t>précité</w:t>
      </w:r>
      <w:r w:rsidR="007E4D68" w:rsidRPr="004618D5">
        <w:rPr>
          <w:lang w:val="fr-FR"/>
        </w:rPr>
        <w:t>.</w:t>
      </w:r>
    </w:p>
    <w:p w:rsidR="007E4D68"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22</w:t>
      </w:r>
      <w:r w:rsidRPr="004618D5">
        <w:rPr>
          <w:lang w:val="fr-FR"/>
        </w:rPr>
        <w:fldChar w:fldCharType="end"/>
      </w:r>
      <w:r w:rsidRPr="004618D5">
        <w:rPr>
          <w:lang w:val="fr-FR"/>
        </w:rPr>
        <w:t xml:space="preserve">.  La Cour de cassation </w:t>
      </w:r>
      <w:r w:rsidR="00E22881" w:rsidRPr="004618D5">
        <w:rPr>
          <w:lang w:val="fr-FR"/>
        </w:rPr>
        <w:t xml:space="preserve">estima </w:t>
      </w:r>
      <w:r w:rsidRPr="004618D5">
        <w:rPr>
          <w:lang w:val="fr-FR"/>
        </w:rPr>
        <w:t>ensuite qu</w:t>
      </w:r>
      <w:r w:rsidR="004618D5" w:rsidRPr="004618D5">
        <w:rPr>
          <w:lang w:val="fr-FR"/>
        </w:rPr>
        <w:t>’</w:t>
      </w:r>
      <w:r w:rsidRPr="004618D5">
        <w:rPr>
          <w:lang w:val="fr-FR"/>
        </w:rPr>
        <w:t>une telle interprétation ne découl</w:t>
      </w:r>
      <w:r w:rsidR="00761480" w:rsidRPr="004618D5">
        <w:rPr>
          <w:lang w:val="fr-FR"/>
        </w:rPr>
        <w:t>ait</w:t>
      </w:r>
      <w:r w:rsidRPr="004618D5">
        <w:rPr>
          <w:lang w:val="fr-FR"/>
        </w:rPr>
        <w:t xml:space="preserve"> pas</w:t>
      </w:r>
      <w:r w:rsidR="001966C9" w:rsidRPr="004618D5">
        <w:rPr>
          <w:lang w:val="fr-FR"/>
        </w:rPr>
        <w:t xml:space="preserve"> non plus</w:t>
      </w:r>
      <w:r w:rsidRPr="004618D5">
        <w:rPr>
          <w:lang w:val="fr-FR"/>
        </w:rPr>
        <w:t xml:space="preserve"> des articles 8</w:t>
      </w:r>
      <w:r w:rsidRPr="004618D5">
        <w:rPr>
          <w:vertAlign w:val="superscript"/>
          <w:lang w:val="fr-FR"/>
        </w:rPr>
        <w:t xml:space="preserve"> </w:t>
      </w:r>
      <w:r w:rsidRPr="004618D5">
        <w:rPr>
          <w:lang w:val="fr-FR"/>
        </w:rPr>
        <w:t>et 12 de la Convention</w:t>
      </w:r>
      <w:r w:rsidR="001966C9" w:rsidRPr="004618D5">
        <w:rPr>
          <w:lang w:val="fr-FR"/>
        </w:rPr>
        <w:t xml:space="preserve">. En effet, </w:t>
      </w:r>
      <w:r w:rsidR="002C15C8" w:rsidRPr="004618D5">
        <w:rPr>
          <w:lang w:val="fr-FR"/>
        </w:rPr>
        <w:t xml:space="preserve">selon elle, </w:t>
      </w:r>
      <w:r w:rsidR="001966C9" w:rsidRPr="004618D5">
        <w:rPr>
          <w:lang w:val="fr-FR"/>
        </w:rPr>
        <w:t>ces</w:t>
      </w:r>
      <w:r w:rsidRPr="004618D5">
        <w:rPr>
          <w:lang w:val="fr-FR"/>
        </w:rPr>
        <w:t xml:space="preserve"> dispositions laiss</w:t>
      </w:r>
      <w:r w:rsidR="00E22881" w:rsidRPr="004618D5">
        <w:rPr>
          <w:lang w:val="fr-FR"/>
        </w:rPr>
        <w:t>ai</w:t>
      </w:r>
      <w:r w:rsidR="00761480" w:rsidRPr="004618D5">
        <w:rPr>
          <w:lang w:val="fr-FR"/>
        </w:rPr>
        <w:t>ent</w:t>
      </w:r>
      <w:r w:rsidRPr="004618D5">
        <w:rPr>
          <w:lang w:val="fr-FR"/>
        </w:rPr>
        <w:t xml:space="preserve"> aux États une large marge d</w:t>
      </w:r>
      <w:r w:rsidR="004618D5" w:rsidRPr="004618D5">
        <w:rPr>
          <w:lang w:val="fr-FR"/>
        </w:rPr>
        <w:t>’</w:t>
      </w:r>
      <w:r w:rsidRPr="004618D5">
        <w:rPr>
          <w:lang w:val="fr-FR"/>
        </w:rPr>
        <w:t>appréciation quant au choix des modalités d</w:t>
      </w:r>
      <w:r w:rsidR="004618D5" w:rsidRPr="004618D5">
        <w:rPr>
          <w:lang w:val="fr-FR"/>
        </w:rPr>
        <w:t>’</w:t>
      </w:r>
      <w:r w:rsidRPr="004618D5">
        <w:rPr>
          <w:lang w:val="fr-FR"/>
        </w:rPr>
        <w:t xml:space="preserve">exercice des droits </w:t>
      </w:r>
      <w:r w:rsidR="001966C9" w:rsidRPr="004618D5">
        <w:rPr>
          <w:lang w:val="fr-FR"/>
        </w:rPr>
        <w:t>qu</w:t>
      </w:r>
      <w:r w:rsidR="004618D5" w:rsidRPr="004618D5">
        <w:rPr>
          <w:lang w:val="fr-FR"/>
        </w:rPr>
        <w:t>’</w:t>
      </w:r>
      <w:r w:rsidR="001966C9" w:rsidRPr="004618D5">
        <w:rPr>
          <w:lang w:val="fr-FR"/>
        </w:rPr>
        <w:t>elles garantiss</w:t>
      </w:r>
      <w:r w:rsidR="00E22881" w:rsidRPr="004618D5">
        <w:rPr>
          <w:lang w:val="fr-FR"/>
        </w:rPr>
        <w:t>ai</w:t>
      </w:r>
      <w:r w:rsidR="001966C9" w:rsidRPr="004618D5">
        <w:rPr>
          <w:lang w:val="fr-FR"/>
        </w:rPr>
        <w:t>ent</w:t>
      </w:r>
      <w:r w:rsidRPr="004618D5">
        <w:rPr>
          <w:lang w:val="fr-FR"/>
        </w:rPr>
        <w:t xml:space="preserve">, </w:t>
      </w:r>
      <w:r w:rsidR="001966C9" w:rsidRPr="004618D5">
        <w:rPr>
          <w:lang w:val="fr-FR"/>
        </w:rPr>
        <w:t xml:space="preserve">et ce </w:t>
      </w:r>
      <w:r w:rsidRPr="004618D5">
        <w:rPr>
          <w:lang w:val="fr-FR"/>
        </w:rPr>
        <w:t>notamment en matière de gestion de l</w:t>
      </w:r>
      <w:r w:rsidR="004618D5" w:rsidRPr="004618D5">
        <w:rPr>
          <w:lang w:val="fr-FR"/>
        </w:rPr>
        <w:t>’</w:t>
      </w:r>
      <w:r w:rsidRPr="004618D5">
        <w:rPr>
          <w:lang w:val="fr-FR"/>
        </w:rPr>
        <w:t xml:space="preserve">immigration. </w:t>
      </w:r>
      <w:r w:rsidR="00E22881" w:rsidRPr="004618D5">
        <w:rPr>
          <w:lang w:val="fr-FR"/>
        </w:rPr>
        <w:t xml:space="preserve">La Cour de cassation </w:t>
      </w:r>
      <w:r w:rsidR="002C15C8" w:rsidRPr="004618D5">
        <w:rPr>
          <w:lang w:val="fr-FR"/>
        </w:rPr>
        <w:t>ajouta par ailleurs qu</w:t>
      </w:r>
      <w:r w:rsidR="004618D5" w:rsidRPr="004618D5">
        <w:rPr>
          <w:lang w:val="fr-FR"/>
        </w:rPr>
        <w:t>’</w:t>
      </w:r>
      <w:r w:rsidR="00E22881" w:rsidRPr="004618D5">
        <w:rPr>
          <w:lang w:val="fr-FR"/>
        </w:rPr>
        <w:t>il n</w:t>
      </w:r>
      <w:r w:rsidR="004618D5" w:rsidRPr="004618D5">
        <w:rPr>
          <w:lang w:val="fr-FR"/>
        </w:rPr>
        <w:t>’</w:t>
      </w:r>
      <w:r w:rsidR="00E22881" w:rsidRPr="004618D5">
        <w:rPr>
          <w:lang w:val="fr-FR"/>
        </w:rPr>
        <w:t>y avait en l</w:t>
      </w:r>
      <w:r w:rsidR="004618D5" w:rsidRPr="004618D5">
        <w:rPr>
          <w:lang w:val="fr-FR"/>
        </w:rPr>
        <w:t>’</w:t>
      </w:r>
      <w:r w:rsidR="00E22881" w:rsidRPr="004618D5">
        <w:rPr>
          <w:lang w:val="fr-FR"/>
        </w:rPr>
        <w:t xml:space="preserve">espèce </w:t>
      </w:r>
      <w:r w:rsidR="00761480" w:rsidRPr="004618D5">
        <w:rPr>
          <w:lang w:val="fr-FR"/>
        </w:rPr>
        <w:t xml:space="preserve">aucune </w:t>
      </w:r>
      <w:r w:rsidRPr="004618D5">
        <w:rPr>
          <w:lang w:val="fr-FR"/>
        </w:rPr>
        <w:t>discrimination fondée sur l</w:t>
      </w:r>
      <w:r w:rsidR="004618D5" w:rsidRPr="004618D5">
        <w:rPr>
          <w:lang w:val="fr-FR"/>
        </w:rPr>
        <w:t>’</w:t>
      </w:r>
      <w:r w:rsidRPr="004618D5">
        <w:rPr>
          <w:lang w:val="fr-FR"/>
        </w:rPr>
        <w:t>orientation sexuelle des requérants</w:t>
      </w:r>
      <w:r w:rsidR="00761480" w:rsidRPr="004618D5">
        <w:rPr>
          <w:lang w:val="fr-FR"/>
        </w:rPr>
        <w:t>. Elle observa à cet égard</w:t>
      </w:r>
      <w:r w:rsidRPr="004618D5">
        <w:rPr>
          <w:lang w:val="fr-FR"/>
        </w:rPr>
        <w:t xml:space="preserve"> que l</w:t>
      </w:r>
      <w:r w:rsidR="004618D5" w:rsidRPr="004618D5">
        <w:rPr>
          <w:lang w:val="fr-FR"/>
        </w:rPr>
        <w:t>’</w:t>
      </w:r>
      <w:r w:rsidRPr="004618D5">
        <w:rPr>
          <w:lang w:val="fr-FR"/>
        </w:rPr>
        <w:t>exclusion des partenaires non</w:t>
      </w:r>
      <w:r w:rsidR="000E14D4" w:rsidRPr="004618D5">
        <w:rPr>
          <w:lang w:val="fr-FR"/>
        </w:rPr>
        <w:t xml:space="preserve"> </w:t>
      </w:r>
      <w:r w:rsidRPr="004618D5">
        <w:rPr>
          <w:lang w:val="fr-FR"/>
        </w:rPr>
        <w:t xml:space="preserve">mariés du droit à obtenir </w:t>
      </w:r>
      <w:r w:rsidR="000E14D4" w:rsidRPr="004618D5">
        <w:rPr>
          <w:lang w:val="fr-FR"/>
        </w:rPr>
        <w:t xml:space="preserve">un </w:t>
      </w:r>
      <w:r w:rsidRPr="004618D5">
        <w:rPr>
          <w:lang w:val="fr-FR"/>
        </w:rPr>
        <w:t>permis de séjour</w:t>
      </w:r>
      <w:r w:rsidR="001966C9" w:rsidRPr="004618D5">
        <w:rPr>
          <w:lang w:val="fr-FR"/>
        </w:rPr>
        <w:t xml:space="preserve"> </w:t>
      </w:r>
      <w:r w:rsidR="000E14D4" w:rsidRPr="004618D5">
        <w:rPr>
          <w:lang w:val="fr-FR"/>
        </w:rPr>
        <w:t>pour raison familiale</w:t>
      </w:r>
      <w:r w:rsidRPr="004618D5">
        <w:rPr>
          <w:lang w:val="fr-FR"/>
        </w:rPr>
        <w:t xml:space="preserve"> concern</w:t>
      </w:r>
      <w:r w:rsidR="00761480" w:rsidRPr="004618D5">
        <w:rPr>
          <w:lang w:val="fr-FR"/>
        </w:rPr>
        <w:t>ait</w:t>
      </w:r>
      <w:r w:rsidRPr="004618D5">
        <w:rPr>
          <w:lang w:val="fr-FR"/>
        </w:rPr>
        <w:t xml:space="preserve"> tant les partenaires d</w:t>
      </w:r>
      <w:r w:rsidR="00EB518F" w:rsidRPr="004618D5">
        <w:rPr>
          <w:lang w:val="fr-FR"/>
        </w:rPr>
        <w:t>e</w:t>
      </w:r>
      <w:r w:rsidRPr="004618D5">
        <w:rPr>
          <w:lang w:val="fr-FR"/>
        </w:rPr>
        <w:t xml:space="preserve"> même sexe que les couples </w:t>
      </w:r>
      <w:r w:rsidR="00EB518F" w:rsidRPr="004618D5">
        <w:rPr>
          <w:lang w:val="fr-FR"/>
        </w:rPr>
        <w:t xml:space="preserve">de </w:t>
      </w:r>
      <w:r w:rsidRPr="004618D5">
        <w:rPr>
          <w:lang w:val="fr-FR"/>
        </w:rPr>
        <w:t>sexe opposé.</w:t>
      </w:r>
    </w:p>
    <w:bookmarkStart w:id="3" w:name="sentenzaCCasstris"/>
    <w:p w:rsidR="007E4D68"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23</w:t>
      </w:r>
      <w:r w:rsidRPr="004618D5">
        <w:rPr>
          <w:lang w:val="fr-FR"/>
        </w:rPr>
        <w:fldChar w:fldCharType="end"/>
      </w:r>
      <w:bookmarkEnd w:id="3"/>
      <w:r w:rsidRPr="004618D5">
        <w:rPr>
          <w:lang w:val="fr-FR"/>
        </w:rPr>
        <w:t xml:space="preserve">.  Enfin, </w:t>
      </w:r>
      <w:r w:rsidR="002C15C8" w:rsidRPr="004618D5">
        <w:rPr>
          <w:lang w:val="fr-FR"/>
        </w:rPr>
        <w:t>elle</w:t>
      </w:r>
      <w:r w:rsidRPr="004618D5">
        <w:rPr>
          <w:lang w:val="fr-FR"/>
        </w:rPr>
        <w:t xml:space="preserve"> </w:t>
      </w:r>
      <w:r w:rsidR="00E22881" w:rsidRPr="004618D5">
        <w:rPr>
          <w:lang w:val="fr-FR"/>
        </w:rPr>
        <w:t xml:space="preserve">jugea </w:t>
      </w:r>
      <w:r w:rsidRPr="004618D5">
        <w:rPr>
          <w:lang w:val="fr-FR"/>
        </w:rPr>
        <w:t>que la directive européenne</w:t>
      </w:r>
      <w:r w:rsidR="00761480" w:rsidRPr="004618D5">
        <w:rPr>
          <w:lang w:val="fr-FR"/>
        </w:rPr>
        <w:t xml:space="preserve"> n</w:t>
      </w:r>
      <w:r w:rsidR="00B55B33" w:rsidRPr="004618D5">
        <w:rPr>
          <w:vertAlign w:val="superscript"/>
          <w:lang w:val="fr-FR"/>
        </w:rPr>
        <w:t>o</w:t>
      </w:r>
      <w:r w:rsidR="00761480" w:rsidRPr="004618D5">
        <w:rPr>
          <w:lang w:val="fr-FR"/>
        </w:rPr>
        <w:t> </w:t>
      </w:r>
      <w:r w:rsidRPr="004618D5">
        <w:rPr>
          <w:lang w:val="fr-FR"/>
        </w:rPr>
        <w:t>2004/38/CE</w:t>
      </w:r>
      <w:r w:rsidR="001966C9" w:rsidRPr="004618D5">
        <w:rPr>
          <w:lang w:val="fr-FR"/>
        </w:rPr>
        <w:t xml:space="preserve"> (paragraphe</w:t>
      </w:r>
      <w:r w:rsidR="003462D8" w:rsidRPr="004618D5">
        <w:rPr>
          <w:lang w:val="fr-FR"/>
        </w:rPr>
        <w:t> </w:t>
      </w:r>
      <w:r w:rsidR="003C71B5" w:rsidRPr="004618D5">
        <w:rPr>
          <w:lang w:val="fr-FR" w:eastAsia="en-GB"/>
        </w:rPr>
        <w:t>29</w:t>
      </w:r>
      <w:r w:rsidR="001966C9" w:rsidRPr="004618D5">
        <w:rPr>
          <w:lang w:val="fr-FR"/>
        </w:rPr>
        <w:t xml:space="preserve"> ci-dessus)</w:t>
      </w:r>
      <w:r w:rsidR="008C07D5" w:rsidRPr="004618D5">
        <w:rPr>
          <w:lang w:val="fr-FR"/>
        </w:rPr>
        <w:t>,</w:t>
      </w:r>
      <w:r w:rsidRPr="004618D5">
        <w:rPr>
          <w:lang w:val="fr-FR"/>
        </w:rPr>
        <w:t xml:space="preserve"> </w:t>
      </w:r>
      <w:r w:rsidR="001966C9" w:rsidRPr="004618D5">
        <w:rPr>
          <w:lang w:val="fr-FR"/>
        </w:rPr>
        <w:t xml:space="preserve">qui </w:t>
      </w:r>
      <w:r w:rsidR="008C07D5" w:rsidRPr="004618D5">
        <w:rPr>
          <w:lang w:val="fr-FR"/>
        </w:rPr>
        <w:t xml:space="preserve">avait trait à </w:t>
      </w:r>
      <w:r w:rsidR="001966C9" w:rsidRPr="004618D5">
        <w:rPr>
          <w:lang w:val="fr-FR"/>
        </w:rPr>
        <w:t>la</w:t>
      </w:r>
      <w:r w:rsidRPr="004618D5">
        <w:rPr>
          <w:lang w:val="fr-FR"/>
        </w:rPr>
        <w:t xml:space="preserve"> libre circulation des citoyens de </w:t>
      </w:r>
      <w:r w:rsidR="002C15C8" w:rsidRPr="004618D5">
        <w:rPr>
          <w:lang w:val="fr-FR"/>
        </w:rPr>
        <w:t>l</w:t>
      </w:r>
      <w:r w:rsidR="004618D5" w:rsidRPr="004618D5">
        <w:rPr>
          <w:lang w:val="fr-FR"/>
        </w:rPr>
        <w:t>’</w:t>
      </w:r>
      <w:r w:rsidR="002C15C8" w:rsidRPr="004618D5">
        <w:rPr>
          <w:lang w:val="fr-FR"/>
        </w:rPr>
        <w:t>UE</w:t>
      </w:r>
      <w:r w:rsidRPr="004618D5">
        <w:rPr>
          <w:lang w:val="fr-FR"/>
        </w:rPr>
        <w:t xml:space="preserve"> sur le territoire </w:t>
      </w:r>
      <w:r w:rsidR="006821EA" w:rsidRPr="004618D5">
        <w:rPr>
          <w:lang w:val="fr-FR"/>
        </w:rPr>
        <w:t>d</w:t>
      </w:r>
      <w:r w:rsidR="004618D5" w:rsidRPr="004618D5">
        <w:rPr>
          <w:lang w:val="fr-FR"/>
        </w:rPr>
        <w:t>’</w:t>
      </w:r>
      <w:r w:rsidR="006821EA" w:rsidRPr="004618D5">
        <w:rPr>
          <w:lang w:val="fr-FR"/>
        </w:rPr>
        <w:t>États</w:t>
      </w:r>
      <w:r w:rsidRPr="004618D5">
        <w:rPr>
          <w:lang w:val="fr-FR"/>
        </w:rPr>
        <w:t xml:space="preserve"> membres autres que </w:t>
      </w:r>
      <w:r w:rsidR="006821EA" w:rsidRPr="004618D5">
        <w:rPr>
          <w:lang w:val="fr-FR"/>
        </w:rPr>
        <w:t>leur État</w:t>
      </w:r>
      <w:r w:rsidRPr="004618D5">
        <w:rPr>
          <w:lang w:val="fr-FR"/>
        </w:rPr>
        <w:t xml:space="preserve"> d</w:t>
      </w:r>
      <w:r w:rsidR="004618D5" w:rsidRPr="004618D5">
        <w:rPr>
          <w:lang w:val="fr-FR"/>
        </w:rPr>
        <w:t>’</w:t>
      </w:r>
      <w:r w:rsidRPr="004618D5">
        <w:rPr>
          <w:lang w:val="fr-FR"/>
        </w:rPr>
        <w:t>origine</w:t>
      </w:r>
      <w:r w:rsidR="008C07D5" w:rsidRPr="004618D5">
        <w:rPr>
          <w:lang w:val="fr-FR"/>
        </w:rPr>
        <w:t>,</w:t>
      </w:r>
      <w:r w:rsidRPr="004618D5">
        <w:rPr>
          <w:lang w:val="fr-FR"/>
        </w:rPr>
        <w:t xml:space="preserve"> ne trouvait pas à s</w:t>
      </w:r>
      <w:r w:rsidR="004618D5" w:rsidRPr="004618D5">
        <w:rPr>
          <w:lang w:val="fr-FR"/>
        </w:rPr>
        <w:t>’</w:t>
      </w:r>
      <w:r w:rsidRPr="004618D5">
        <w:rPr>
          <w:lang w:val="fr-FR"/>
        </w:rPr>
        <w:t>appliquer au cas d</w:t>
      </w:r>
      <w:r w:rsidR="004618D5" w:rsidRPr="004618D5">
        <w:rPr>
          <w:lang w:val="fr-FR"/>
        </w:rPr>
        <w:t>’</w:t>
      </w:r>
      <w:r w:rsidRPr="004618D5">
        <w:rPr>
          <w:lang w:val="fr-FR"/>
        </w:rPr>
        <w:t xml:space="preserve">espèce, </w:t>
      </w:r>
      <w:r w:rsidR="00E22881" w:rsidRPr="004618D5">
        <w:rPr>
          <w:lang w:val="fr-FR"/>
        </w:rPr>
        <w:t xml:space="preserve">au motif que celui-ci </w:t>
      </w:r>
      <w:r w:rsidRPr="004618D5">
        <w:rPr>
          <w:lang w:val="fr-FR"/>
        </w:rPr>
        <w:t>concerna</w:t>
      </w:r>
      <w:r w:rsidR="00761480" w:rsidRPr="004618D5">
        <w:rPr>
          <w:lang w:val="fr-FR"/>
        </w:rPr>
        <w:t>i</w:t>
      </w:r>
      <w:r w:rsidRPr="004618D5">
        <w:rPr>
          <w:lang w:val="fr-FR"/>
        </w:rPr>
        <w:t>t le regroupement familial avec un ressortissant italien résidant dans son propre pays.</w:t>
      </w:r>
    </w:p>
    <w:p w:rsidR="001966C9" w:rsidRPr="004618D5" w:rsidRDefault="001966C9" w:rsidP="004618D5">
      <w:pPr>
        <w:pStyle w:val="ECHRHeading2"/>
        <w:rPr>
          <w:lang w:val="fr-FR"/>
        </w:rPr>
      </w:pPr>
      <w:r w:rsidRPr="004618D5">
        <w:rPr>
          <w:lang w:val="fr-FR"/>
        </w:rPr>
        <w:t>E.  Le mariage des requérants</w:t>
      </w:r>
    </w:p>
    <w:p w:rsidR="00E77CB3" w:rsidRPr="004618D5" w:rsidRDefault="007E4D68"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24</w:t>
      </w:r>
      <w:r w:rsidRPr="004618D5">
        <w:rPr>
          <w:lang w:val="fr-FR"/>
        </w:rPr>
        <w:fldChar w:fldCharType="end"/>
      </w:r>
      <w:r w:rsidRPr="004618D5">
        <w:rPr>
          <w:lang w:val="fr-FR"/>
        </w:rPr>
        <w:t>.  </w:t>
      </w:r>
      <w:r w:rsidR="001966C9" w:rsidRPr="004618D5">
        <w:rPr>
          <w:lang w:val="fr-FR"/>
        </w:rPr>
        <w:t>Ayant pris connaissance</w:t>
      </w:r>
      <w:r w:rsidRPr="004618D5">
        <w:rPr>
          <w:lang w:val="fr-FR"/>
        </w:rPr>
        <w:t xml:space="preserve"> d</w:t>
      </w:r>
      <w:r w:rsidR="001966C9" w:rsidRPr="004618D5">
        <w:rPr>
          <w:lang w:val="fr-FR"/>
        </w:rPr>
        <w:t>u texte d</w:t>
      </w:r>
      <w:r w:rsidRPr="004618D5">
        <w:rPr>
          <w:lang w:val="fr-FR"/>
        </w:rPr>
        <w:t>e l</w:t>
      </w:r>
      <w:r w:rsidR="004618D5" w:rsidRPr="004618D5">
        <w:rPr>
          <w:lang w:val="fr-FR"/>
        </w:rPr>
        <w:t>’</w:t>
      </w:r>
      <w:r w:rsidRPr="004618D5">
        <w:rPr>
          <w:lang w:val="fr-FR"/>
        </w:rPr>
        <w:t xml:space="preserve">arrêt de la Cour de cassation, les requérants </w:t>
      </w:r>
      <w:r w:rsidR="001966C9" w:rsidRPr="004618D5">
        <w:rPr>
          <w:lang w:val="fr-FR"/>
        </w:rPr>
        <w:t>quittèrent l</w:t>
      </w:r>
      <w:r w:rsidR="004618D5" w:rsidRPr="004618D5">
        <w:rPr>
          <w:lang w:val="fr-FR"/>
        </w:rPr>
        <w:t>’</w:t>
      </w:r>
      <w:r w:rsidR="001966C9" w:rsidRPr="004618D5">
        <w:rPr>
          <w:lang w:val="fr-FR"/>
        </w:rPr>
        <w:t>Italie</w:t>
      </w:r>
      <w:r w:rsidR="006821EA" w:rsidRPr="004618D5">
        <w:rPr>
          <w:lang w:val="fr-FR"/>
        </w:rPr>
        <w:t xml:space="preserve"> en juillet 2009</w:t>
      </w:r>
      <w:r w:rsidR="001966C9" w:rsidRPr="004618D5">
        <w:rPr>
          <w:lang w:val="fr-FR"/>
        </w:rPr>
        <w:t xml:space="preserve">. Ils </w:t>
      </w:r>
      <w:r w:rsidRPr="004618D5">
        <w:rPr>
          <w:lang w:val="fr-FR"/>
        </w:rPr>
        <w:t>s</w:t>
      </w:r>
      <w:r w:rsidR="004618D5" w:rsidRPr="004618D5">
        <w:rPr>
          <w:lang w:val="fr-FR"/>
        </w:rPr>
        <w:t>’</w:t>
      </w:r>
      <w:r w:rsidRPr="004618D5">
        <w:rPr>
          <w:lang w:val="fr-FR"/>
        </w:rPr>
        <w:t>installèrent aux Pays</w:t>
      </w:r>
      <w:r w:rsidR="00964429" w:rsidRPr="004618D5">
        <w:rPr>
          <w:lang w:val="fr-FR"/>
        </w:rPr>
        <w:noBreakHyphen/>
      </w:r>
      <w:r w:rsidRPr="004618D5">
        <w:rPr>
          <w:lang w:val="fr-FR"/>
        </w:rPr>
        <w:t>Bas, où</w:t>
      </w:r>
      <w:r w:rsidR="003F48ED" w:rsidRPr="004618D5">
        <w:rPr>
          <w:lang w:val="fr-FR"/>
        </w:rPr>
        <w:t>, le 25 août 2009,</w:t>
      </w:r>
      <w:r w:rsidRPr="004618D5">
        <w:rPr>
          <w:lang w:val="fr-FR"/>
        </w:rPr>
        <w:t xml:space="preserve"> le deuxième requérant </w:t>
      </w:r>
      <w:r w:rsidR="001966C9" w:rsidRPr="004618D5">
        <w:rPr>
          <w:lang w:val="fr-FR"/>
        </w:rPr>
        <w:t>obtint</w:t>
      </w:r>
      <w:r w:rsidRPr="004618D5">
        <w:rPr>
          <w:lang w:val="fr-FR"/>
        </w:rPr>
        <w:t xml:space="preserve"> un permis de séjour d</w:t>
      </w:r>
      <w:r w:rsidR="004618D5" w:rsidRPr="004618D5">
        <w:rPr>
          <w:lang w:val="fr-FR"/>
        </w:rPr>
        <w:t>’</w:t>
      </w:r>
      <w:r w:rsidRPr="004618D5">
        <w:rPr>
          <w:lang w:val="fr-FR"/>
        </w:rPr>
        <w:t>une durée de cinq ans</w:t>
      </w:r>
      <w:r w:rsidR="003F48ED" w:rsidRPr="004618D5">
        <w:rPr>
          <w:lang w:val="fr-FR"/>
        </w:rPr>
        <w:t xml:space="preserve"> en tant que partenaire </w:t>
      </w:r>
      <w:r w:rsidR="003F48ED" w:rsidRPr="004618D5">
        <w:rPr>
          <w:i/>
          <w:lang w:val="fr-FR"/>
        </w:rPr>
        <w:t xml:space="preserve">de facto </w:t>
      </w:r>
      <w:r w:rsidR="003F48ED" w:rsidRPr="004618D5">
        <w:rPr>
          <w:lang w:val="fr-FR"/>
        </w:rPr>
        <w:t>engagé dans une relation durable avec un ressortissant de l</w:t>
      </w:r>
      <w:r w:rsidR="004618D5" w:rsidRPr="004618D5">
        <w:rPr>
          <w:lang w:val="fr-FR"/>
        </w:rPr>
        <w:t>’</w:t>
      </w:r>
      <w:r w:rsidR="003F48ED" w:rsidRPr="004618D5">
        <w:rPr>
          <w:lang w:val="fr-FR"/>
        </w:rPr>
        <w:t>U</w:t>
      </w:r>
      <w:r w:rsidR="001966C9" w:rsidRPr="004618D5">
        <w:rPr>
          <w:lang w:val="fr-FR"/>
        </w:rPr>
        <w:t>E</w:t>
      </w:r>
      <w:r w:rsidRPr="004618D5">
        <w:rPr>
          <w:lang w:val="fr-FR"/>
        </w:rPr>
        <w:t>.</w:t>
      </w:r>
    </w:p>
    <w:p w:rsidR="003F48ED" w:rsidRPr="004618D5" w:rsidRDefault="003F48ED"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25</w:t>
      </w:r>
      <w:r w:rsidRPr="004618D5">
        <w:rPr>
          <w:lang w:val="fr-FR"/>
        </w:rPr>
        <w:fldChar w:fldCharType="end"/>
      </w:r>
      <w:r w:rsidRPr="004618D5">
        <w:rPr>
          <w:lang w:val="fr-FR"/>
        </w:rPr>
        <w:t xml:space="preserve">.  Le 8 mai 2010, les requérants se marièrent à Amsterdam. Ils </w:t>
      </w:r>
      <w:r w:rsidR="007D0BE0" w:rsidRPr="004618D5">
        <w:rPr>
          <w:lang w:val="fr-FR"/>
        </w:rPr>
        <w:t xml:space="preserve">ont </w:t>
      </w:r>
      <w:r w:rsidRPr="004618D5">
        <w:rPr>
          <w:lang w:val="fr-FR"/>
        </w:rPr>
        <w:t>précis</w:t>
      </w:r>
      <w:r w:rsidR="007D0BE0" w:rsidRPr="004618D5">
        <w:rPr>
          <w:lang w:val="fr-FR"/>
        </w:rPr>
        <w:t>é qu</w:t>
      </w:r>
      <w:r w:rsidR="004618D5" w:rsidRPr="004618D5">
        <w:rPr>
          <w:lang w:val="fr-FR"/>
        </w:rPr>
        <w:t>’</w:t>
      </w:r>
      <w:r w:rsidR="007D0BE0" w:rsidRPr="004618D5">
        <w:rPr>
          <w:lang w:val="fr-FR"/>
        </w:rPr>
        <w:t xml:space="preserve">ils </w:t>
      </w:r>
      <w:r w:rsidR="008C07D5" w:rsidRPr="004618D5">
        <w:rPr>
          <w:lang w:val="fr-FR"/>
        </w:rPr>
        <w:t>ont</w:t>
      </w:r>
      <w:r w:rsidR="007D0BE0" w:rsidRPr="004618D5">
        <w:rPr>
          <w:lang w:val="fr-FR"/>
        </w:rPr>
        <w:t xml:space="preserve"> choisi</w:t>
      </w:r>
      <w:r w:rsidRPr="004618D5">
        <w:rPr>
          <w:lang w:val="fr-FR"/>
        </w:rPr>
        <w:t xml:space="preserve"> de se marier </w:t>
      </w:r>
      <w:r w:rsidR="007D0BE0" w:rsidRPr="004618D5">
        <w:rPr>
          <w:lang w:val="fr-FR"/>
        </w:rPr>
        <w:t>pour</w:t>
      </w:r>
      <w:r w:rsidRPr="004618D5">
        <w:rPr>
          <w:lang w:val="fr-FR"/>
        </w:rPr>
        <w:t xml:space="preserve"> des raisons personnelles et </w:t>
      </w:r>
      <w:r w:rsidR="007D0BE0" w:rsidRPr="004618D5">
        <w:rPr>
          <w:lang w:val="fr-FR"/>
        </w:rPr>
        <w:t xml:space="preserve">non pas pour </w:t>
      </w:r>
      <w:r w:rsidRPr="004618D5">
        <w:rPr>
          <w:lang w:val="fr-FR"/>
        </w:rPr>
        <w:t xml:space="preserve">obtenir un permis de séjour, les autorités néerlandaises </w:t>
      </w:r>
      <w:r w:rsidR="007D0BE0" w:rsidRPr="004618D5">
        <w:rPr>
          <w:lang w:val="fr-FR"/>
        </w:rPr>
        <w:t xml:space="preserve">en ayant </w:t>
      </w:r>
      <w:r w:rsidRPr="004618D5">
        <w:rPr>
          <w:lang w:val="fr-FR"/>
        </w:rPr>
        <w:t xml:space="preserve">déjà délivré </w:t>
      </w:r>
      <w:r w:rsidR="007D0BE0" w:rsidRPr="004618D5">
        <w:rPr>
          <w:lang w:val="fr-FR"/>
        </w:rPr>
        <w:t xml:space="preserve">un </w:t>
      </w:r>
      <w:r w:rsidRPr="004618D5">
        <w:rPr>
          <w:lang w:val="fr-FR"/>
        </w:rPr>
        <w:t xml:space="preserve">au deuxième requérant. Ils </w:t>
      </w:r>
      <w:r w:rsidR="007D0BE0" w:rsidRPr="004618D5">
        <w:rPr>
          <w:lang w:val="fr-FR"/>
        </w:rPr>
        <w:t>ont ajouté</w:t>
      </w:r>
      <w:r w:rsidRPr="004618D5">
        <w:rPr>
          <w:lang w:val="fr-FR"/>
        </w:rPr>
        <w:t xml:space="preserve"> que le mariage contracté aux Pays-Bas ne leur permet</w:t>
      </w:r>
      <w:r w:rsidR="006821EA" w:rsidRPr="004618D5">
        <w:rPr>
          <w:lang w:val="fr-FR"/>
        </w:rPr>
        <w:t>tait</w:t>
      </w:r>
      <w:r w:rsidRPr="004618D5">
        <w:rPr>
          <w:lang w:val="fr-FR"/>
        </w:rPr>
        <w:t xml:space="preserve"> pas de vivre ensemble en </w:t>
      </w:r>
      <w:r w:rsidR="006821EA" w:rsidRPr="004618D5">
        <w:rPr>
          <w:lang w:val="fr-FR"/>
        </w:rPr>
        <w:t>Italie</w:t>
      </w:r>
      <w:r w:rsidRPr="004618D5">
        <w:rPr>
          <w:lang w:val="fr-FR"/>
        </w:rPr>
        <w:t>. Le 22 août 2014, le deuxième requérant obtint un deuxième permis de séjour aux Pays-Bas</w:t>
      </w:r>
      <w:r w:rsidR="006821EA" w:rsidRPr="004618D5">
        <w:rPr>
          <w:lang w:val="fr-FR"/>
        </w:rPr>
        <w:t>,</w:t>
      </w:r>
      <w:r w:rsidRPr="004618D5">
        <w:rPr>
          <w:lang w:val="fr-FR"/>
        </w:rPr>
        <w:t xml:space="preserve"> valable pour une durée de cinq ans</w:t>
      </w:r>
      <w:r w:rsidR="002C15C8" w:rsidRPr="004618D5">
        <w:rPr>
          <w:lang w:val="fr-FR"/>
        </w:rPr>
        <w:t>,</w:t>
      </w:r>
      <w:r w:rsidR="006821EA" w:rsidRPr="004618D5">
        <w:rPr>
          <w:lang w:val="fr-FR"/>
        </w:rPr>
        <w:t xml:space="preserve"> soit </w:t>
      </w:r>
      <w:r w:rsidRPr="004618D5">
        <w:rPr>
          <w:lang w:val="fr-FR"/>
        </w:rPr>
        <w:t>jusqu</w:t>
      </w:r>
      <w:r w:rsidR="004618D5" w:rsidRPr="004618D5">
        <w:rPr>
          <w:lang w:val="fr-FR"/>
        </w:rPr>
        <w:t>’</w:t>
      </w:r>
      <w:r w:rsidRPr="004618D5">
        <w:rPr>
          <w:lang w:val="fr-FR"/>
        </w:rPr>
        <w:t>au 22</w:t>
      </w:r>
      <w:r w:rsidR="00964429" w:rsidRPr="004618D5">
        <w:rPr>
          <w:lang w:val="fr-FR"/>
        </w:rPr>
        <w:t> </w:t>
      </w:r>
      <w:r w:rsidR="001215CC" w:rsidRPr="004618D5">
        <w:rPr>
          <w:lang w:val="fr-FR"/>
        </w:rPr>
        <w:t>août 2019.</w:t>
      </w:r>
    </w:p>
    <w:p w:rsidR="00E77CB3" w:rsidRPr="004618D5" w:rsidRDefault="00E77CB3" w:rsidP="004618D5">
      <w:pPr>
        <w:pStyle w:val="ECHRHeading1"/>
        <w:rPr>
          <w:lang w:val="fr-FR"/>
        </w:rPr>
      </w:pPr>
      <w:r w:rsidRPr="004618D5">
        <w:rPr>
          <w:lang w:val="fr-FR"/>
        </w:rPr>
        <w:t>II.  LE DROIT INTERNE PERTINENT</w:t>
      </w:r>
    </w:p>
    <w:p w:rsidR="00B664A0" w:rsidRPr="004618D5" w:rsidRDefault="00B664A0"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26</w:t>
      </w:r>
      <w:r w:rsidRPr="004618D5">
        <w:rPr>
          <w:lang w:val="fr-FR"/>
        </w:rPr>
        <w:fldChar w:fldCharType="end"/>
      </w:r>
      <w:r w:rsidRPr="004618D5">
        <w:rPr>
          <w:lang w:val="fr-FR"/>
        </w:rPr>
        <w:t>.  Le décret législatif n</w:t>
      </w:r>
      <w:r w:rsidR="00B55B33" w:rsidRPr="004618D5">
        <w:rPr>
          <w:vertAlign w:val="superscript"/>
          <w:lang w:val="fr-FR"/>
        </w:rPr>
        <w:t>o</w:t>
      </w:r>
      <w:r w:rsidRPr="004618D5">
        <w:rPr>
          <w:lang w:val="fr-FR"/>
        </w:rPr>
        <w:t xml:space="preserve"> 286 du 25 juillet 1998</w:t>
      </w:r>
      <w:r w:rsidR="005C724C" w:rsidRPr="004618D5">
        <w:rPr>
          <w:lang w:val="fr-FR"/>
        </w:rPr>
        <w:t xml:space="preserve"> est le « Texte unique des dispositions concernant la gestion de l</w:t>
      </w:r>
      <w:r w:rsidR="004618D5" w:rsidRPr="004618D5">
        <w:rPr>
          <w:lang w:val="fr-FR"/>
        </w:rPr>
        <w:t>’</w:t>
      </w:r>
      <w:r w:rsidR="005C724C" w:rsidRPr="004618D5">
        <w:rPr>
          <w:lang w:val="fr-FR"/>
        </w:rPr>
        <w:t xml:space="preserve">immigration et [des] normes sur </w:t>
      </w:r>
      <w:r w:rsidR="005C724C" w:rsidRPr="004618D5">
        <w:rPr>
          <w:lang w:val="fr-FR"/>
        </w:rPr>
        <w:lastRenderedPageBreak/>
        <w:t>la condition de l</w:t>
      </w:r>
      <w:r w:rsidR="004618D5" w:rsidRPr="004618D5">
        <w:rPr>
          <w:lang w:val="fr-FR"/>
        </w:rPr>
        <w:t>’</w:t>
      </w:r>
      <w:r w:rsidR="005C724C" w:rsidRPr="004618D5">
        <w:rPr>
          <w:lang w:val="fr-FR"/>
        </w:rPr>
        <w:t>étranger » (</w:t>
      </w:r>
      <w:r w:rsidR="005C724C" w:rsidRPr="004618D5">
        <w:rPr>
          <w:i/>
          <w:lang w:val="fr-FR"/>
        </w:rPr>
        <w:t>Testo unico delle disposizioni concernenti la disciplina dell</w:t>
      </w:r>
      <w:r w:rsidR="004618D5" w:rsidRPr="004618D5">
        <w:rPr>
          <w:i/>
          <w:lang w:val="fr-FR"/>
        </w:rPr>
        <w:t>’</w:t>
      </w:r>
      <w:r w:rsidR="005C724C" w:rsidRPr="004618D5">
        <w:rPr>
          <w:i/>
          <w:lang w:val="fr-FR"/>
        </w:rPr>
        <w:t>immigrazione e norme sulla condizione dello straniero</w:t>
      </w:r>
      <w:r w:rsidR="005C724C" w:rsidRPr="004618D5">
        <w:rPr>
          <w:lang w:val="fr-FR"/>
        </w:rPr>
        <w:t>)</w:t>
      </w:r>
      <w:r w:rsidR="000F6015" w:rsidRPr="004618D5">
        <w:rPr>
          <w:lang w:val="fr-FR"/>
        </w:rPr>
        <w:t>.</w:t>
      </w:r>
    </w:p>
    <w:p w:rsidR="00B664A0" w:rsidRPr="004618D5" w:rsidRDefault="00B664A0"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27</w:t>
      </w:r>
      <w:r w:rsidRPr="004618D5">
        <w:rPr>
          <w:lang w:val="fr-FR"/>
        </w:rPr>
        <w:fldChar w:fldCharType="end"/>
      </w:r>
      <w:r w:rsidRPr="004618D5">
        <w:rPr>
          <w:lang w:val="fr-FR"/>
        </w:rPr>
        <w:t>.  </w:t>
      </w:r>
      <w:r w:rsidR="007D0BE0" w:rsidRPr="004618D5">
        <w:rPr>
          <w:lang w:val="fr-FR"/>
        </w:rPr>
        <w:t>Selon l</w:t>
      </w:r>
      <w:r w:rsidR="004618D5" w:rsidRPr="004618D5">
        <w:rPr>
          <w:lang w:val="fr-FR"/>
        </w:rPr>
        <w:t>’</w:t>
      </w:r>
      <w:r w:rsidRPr="004618D5">
        <w:rPr>
          <w:lang w:val="fr-FR"/>
        </w:rPr>
        <w:t>article 30 c)</w:t>
      </w:r>
      <w:r w:rsidR="007D0BE0" w:rsidRPr="004618D5">
        <w:rPr>
          <w:lang w:val="fr-FR"/>
        </w:rPr>
        <w:t xml:space="preserve"> de ce décret</w:t>
      </w:r>
      <w:r w:rsidRPr="004618D5">
        <w:rPr>
          <w:lang w:val="fr-FR"/>
        </w:rPr>
        <w:t xml:space="preserve">, le permis de séjour </w:t>
      </w:r>
      <w:r w:rsidR="006821EA" w:rsidRPr="004618D5">
        <w:rPr>
          <w:lang w:val="fr-FR"/>
        </w:rPr>
        <w:t>pour raison familiale</w:t>
      </w:r>
      <w:r w:rsidRPr="004618D5">
        <w:rPr>
          <w:lang w:val="fr-FR"/>
        </w:rPr>
        <w:t xml:space="preserve"> </w:t>
      </w:r>
      <w:r w:rsidR="005C724C" w:rsidRPr="004618D5">
        <w:rPr>
          <w:lang w:val="fr-FR"/>
        </w:rPr>
        <w:t>est</w:t>
      </w:r>
      <w:r w:rsidRPr="004618D5">
        <w:rPr>
          <w:lang w:val="fr-FR"/>
        </w:rPr>
        <w:t xml:space="preserve"> octroyé au « membre de la famille, étranger et en situation régulière, </w:t>
      </w:r>
      <w:r w:rsidR="006821EA" w:rsidRPr="004618D5">
        <w:rPr>
          <w:lang w:val="fr-FR"/>
        </w:rPr>
        <w:t>qui remplit les</w:t>
      </w:r>
      <w:r w:rsidRPr="004618D5">
        <w:rPr>
          <w:lang w:val="fr-FR"/>
        </w:rPr>
        <w:t xml:space="preserve"> critères pour le regroupement familial avec un ressortissant italien ou d</w:t>
      </w:r>
      <w:r w:rsidR="004618D5" w:rsidRPr="004618D5">
        <w:rPr>
          <w:lang w:val="fr-FR"/>
        </w:rPr>
        <w:t>’</w:t>
      </w:r>
      <w:r w:rsidRPr="004618D5">
        <w:rPr>
          <w:lang w:val="fr-FR"/>
        </w:rPr>
        <w:t>un État membre de l</w:t>
      </w:r>
      <w:r w:rsidR="004618D5" w:rsidRPr="004618D5">
        <w:rPr>
          <w:lang w:val="fr-FR"/>
        </w:rPr>
        <w:t>’</w:t>
      </w:r>
      <w:r w:rsidRPr="004618D5">
        <w:rPr>
          <w:lang w:val="fr-FR"/>
        </w:rPr>
        <w:t>U</w:t>
      </w:r>
      <w:r w:rsidR="005C724C" w:rsidRPr="004618D5">
        <w:rPr>
          <w:lang w:val="fr-FR"/>
        </w:rPr>
        <w:t>E</w:t>
      </w:r>
      <w:r w:rsidRPr="004618D5">
        <w:rPr>
          <w:lang w:val="fr-FR"/>
        </w:rPr>
        <w:t xml:space="preserve"> résidant en Italie, ou encore avec un étranger </w:t>
      </w:r>
      <w:r w:rsidR="005C724C" w:rsidRPr="004618D5">
        <w:rPr>
          <w:lang w:val="fr-FR"/>
        </w:rPr>
        <w:t xml:space="preserve">qui séjourne </w:t>
      </w:r>
      <w:r w:rsidRPr="004618D5">
        <w:rPr>
          <w:lang w:val="fr-FR"/>
        </w:rPr>
        <w:t>en situation régulière</w:t>
      </w:r>
      <w:r w:rsidR="005C724C" w:rsidRPr="004618D5">
        <w:rPr>
          <w:lang w:val="fr-FR"/>
        </w:rPr>
        <w:t xml:space="preserve"> en Italie</w:t>
      </w:r>
      <w:r w:rsidRPr="004618D5">
        <w:rPr>
          <w:lang w:val="fr-FR"/>
        </w:rPr>
        <w:t> »</w:t>
      </w:r>
      <w:r w:rsidR="005C724C" w:rsidRPr="004618D5">
        <w:rPr>
          <w:lang w:val="fr-FR"/>
        </w:rPr>
        <w:t xml:space="preserve"> (</w:t>
      </w:r>
      <w:r w:rsidR="006821EA" w:rsidRPr="004618D5">
        <w:rPr>
          <w:lang w:val="fr-FR"/>
        </w:rPr>
        <w:t>« </w:t>
      </w:r>
      <w:r w:rsidR="005C724C" w:rsidRPr="004618D5">
        <w:rPr>
          <w:i/>
          <w:lang w:val="fr-FR"/>
        </w:rPr>
        <w:t>al familiare straniero regolarmente soggiornante, in possesso dei requisiti per il ricongiungimento con il cittadino italiano o di uno Stato membro dell</w:t>
      </w:r>
      <w:r w:rsidR="004618D5" w:rsidRPr="004618D5">
        <w:rPr>
          <w:i/>
          <w:lang w:val="fr-FR"/>
        </w:rPr>
        <w:t>’</w:t>
      </w:r>
      <w:r w:rsidR="005C724C" w:rsidRPr="004618D5">
        <w:rPr>
          <w:i/>
          <w:lang w:val="fr-FR"/>
        </w:rPr>
        <w:t>Unione europea residenti in Italia, ovvero con straniero regolarmente soggiornante in Italia</w:t>
      </w:r>
      <w:r w:rsidR="006821EA" w:rsidRPr="004618D5">
        <w:rPr>
          <w:i/>
          <w:lang w:val="fr-FR"/>
        </w:rPr>
        <w:t> »</w:t>
      </w:r>
      <w:r w:rsidR="005C724C" w:rsidRPr="004618D5">
        <w:rPr>
          <w:lang w:val="fr-FR"/>
        </w:rPr>
        <w:t>).</w:t>
      </w:r>
    </w:p>
    <w:p w:rsidR="005C724C" w:rsidRPr="004618D5" w:rsidRDefault="00B664A0"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28</w:t>
      </w:r>
      <w:r w:rsidRPr="004618D5">
        <w:rPr>
          <w:lang w:val="fr-FR"/>
        </w:rPr>
        <w:fldChar w:fldCharType="end"/>
      </w:r>
      <w:r w:rsidRPr="004618D5">
        <w:rPr>
          <w:lang w:val="fr-FR"/>
        </w:rPr>
        <w:t>.  L</w:t>
      </w:r>
      <w:r w:rsidR="004618D5" w:rsidRPr="004618D5">
        <w:rPr>
          <w:lang w:val="fr-FR"/>
        </w:rPr>
        <w:t>’</w:t>
      </w:r>
      <w:r w:rsidRPr="004618D5">
        <w:rPr>
          <w:lang w:val="fr-FR"/>
        </w:rPr>
        <w:t xml:space="preserve">article 29 </w:t>
      </w:r>
      <w:r w:rsidR="00B92959" w:rsidRPr="004618D5">
        <w:rPr>
          <w:lang w:val="fr-FR"/>
        </w:rPr>
        <w:t xml:space="preserve">du décret </w:t>
      </w:r>
      <w:r w:rsidRPr="004618D5">
        <w:rPr>
          <w:lang w:val="fr-FR"/>
        </w:rPr>
        <w:t xml:space="preserve">concerne le regroupement familial. </w:t>
      </w:r>
      <w:r w:rsidR="00B92959" w:rsidRPr="004618D5">
        <w:rPr>
          <w:lang w:val="fr-FR"/>
        </w:rPr>
        <w:t>Selon</w:t>
      </w:r>
      <w:r w:rsidRPr="004618D5">
        <w:rPr>
          <w:lang w:val="fr-FR"/>
        </w:rPr>
        <w:t xml:space="preserve"> son premier alinéa,</w:t>
      </w:r>
      <w:r w:rsidR="005C724C" w:rsidRPr="004618D5">
        <w:rPr>
          <w:lang w:val="fr-FR"/>
        </w:rPr>
        <w:t xml:space="preserve"> un étranger peut</w:t>
      </w:r>
      <w:r w:rsidRPr="004618D5">
        <w:rPr>
          <w:lang w:val="fr-FR"/>
        </w:rPr>
        <w:t xml:space="preserve"> demander le regroupement familial</w:t>
      </w:r>
      <w:r w:rsidR="005C724C" w:rsidRPr="004618D5">
        <w:rPr>
          <w:lang w:val="fr-FR"/>
        </w:rPr>
        <w:t xml:space="preserve"> pour </w:t>
      </w:r>
      <w:r w:rsidR="00EE09BC" w:rsidRPr="004618D5">
        <w:rPr>
          <w:lang w:val="fr-FR"/>
        </w:rPr>
        <w:t>l</w:t>
      </w:r>
      <w:r w:rsidR="005C724C" w:rsidRPr="004618D5">
        <w:rPr>
          <w:lang w:val="fr-FR"/>
        </w:rPr>
        <w:t>es membres de sa famille</w:t>
      </w:r>
      <w:r w:rsidR="00EE09BC" w:rsidRPr="004618D5">
        <w:rPr>
          <w:lang w:val="fr-FR"/>
        </w:rPr>
        <w:t xml:space="preserve"> suivants</w:t>
      </w:r>
      <w:r w:rsidR="005C724C" w:rsidRPr="004618D5">
        <w:rPr>
          <w:lang w:val="fr-FR"/>
        </w:rPr>
        <w:t> : « </w:t>
      </w:r>
      <w:r w:rsidRPr="004618D5">
        <w:rPr>
          <w:lang w:val="fr-FR"/>
        </w:rPr>
        <w:t xml:space="preserve">a) conjoints non </w:t>
      </w:r>
      <w:r w:rsidR="00B02C61" w:rsidRPr="004618D5">
        <w:rPr>
          <w:lang w:val="fr-FR"/>
        </w:rPr>
        <w:t xml:space="preserve">légalement </w:t>
      </w:r>
      <w:r w:rsidRPr="004618D5">
        <w:rPr>
          <w:lang w:val="fr-FR"/>
        </w:rPr>
        <w:t>séparés ; b)</w:t>
      </w:r>
      <w:r w:rsidR="00B02C61" w:rsidRPr="004618D5">
        <w:rPr>
          <w:lang w:val="fr-FR"/>
        </w:rPr>
        <w:t> </w:t>
      </w:r>
      <w:r w:rsidRPr="004618D5">
        <w:rPr>
          <w:lang w:val="fr-FR"/>
        </w:rPr>
        <w:t>enfants mineurs à charge</w:t>
      </w:r>
      <w:r w:rsidR="00B02C61" w:rsidRPr="004618D5">
        <w:rPr>
          <w:lang w:val="fr-FR"/>
        </w:rPr>
        <w:t xml:space="preserve"> (</w:t>
      </w:r>
      <w:r w:rsidR="00B55B33" w:rsidRPr="004618D5">
        <w:rPr>
          <w:lang w:val="fr-FR"/>
        </w:rPr>
        <w:t>...</w:t>
      </w:r>
      <w:r w:rsidR="00B02C61" w:rsidRPr="004618D5">
        <w:rPr>
          <w:lang w:val="fr-FR"/>
        </w:rPr>
        <w:t>)</w:t>
      </w:r>
      <w:r w:rsidRPr="004618D5">
        <w:rPr>
          <w:lang w:val="fr-FR"/>
        </w:rPr>
        <w:t xml:space="preserve"> ; c) </w:t>
      </w:r>
      <w:r w:rsidR="00B02C61" w:rsidRPr="004618D5">
        <w:rPr>
          <w:lang w:val="fr-FR"/>
        </w:rPr>
        <w:t>parents</w:t>
      </w:r>
      <w:r w:rsidRPr="004618D5">
        <w:rPr>
          <w:lang w:val="fr-FR"/>
        </w:rPr>
        <w:t xml:space="preserve"> à charge ; d) </w:t>
      </w:r>
      <w:r w:rsidR="00B02C61" w:rsidRPr="004618D5">
        <w:rPr>
          <w:lang w:val="fr-FR"/>
        </w:rPr>
        <w:t>ascendants ou descendants</w:t>
      </w:r>
      <w:r w:rsidRPr="004618D5">
        <w:rPr>
          <w:lang w:val="fr-FR"/>
        </w:rPr>
        <w:t xml:space="preserve"> jusqu</w:t>
      </w:r>
      <w:r w:rsidR="004618D5" w:rsidRPr="004618D5">
        <w:rPr>
          <w:lang w:val="fr-FR"/>
        </w:rPr>
        <w:t>’</w:t>
      </w:r>
      <w:r w:rsidRPr="004618D5">
        <w:rPr>
          <w:lang w:val="fr-FR"/>
        </w:rPr>
        <w:t>au troisième degré</w:t>
      </w:r>
      <w:r w:rsidR="00B02C61" w:rsidRPr="004618D5">
        <w:rPr>
          <w:lang w:val="fr-FR"/>
        </w:rPr>
        <w:t>,</w:t>
      </w:r>
      <w:r w:rsidRPr="004618D5">
        <w:rPr>
          <w:lang w:val="fr-FR"/>
        </w:rPr>
        <w:t xml:space="preserve"> à charge, inaptes au travail</w:t>
      </w:r>
      <w:r w:rsidR="00B02C61" w:rsidRPr="004618D5">
        <w:rPr>
          <w:lang w:val="fr-FR"/>
        </w:rPr>
        <w:t xml:space="preserve"> selon la législation italienne</w:t>
      </w:r>
      <w:r w:rsidR="00A21EED" w:rsidRPr="004618D5">
        <w:rPr>
          <w:lang w:val="fr-FR"/>
        </w:rPr>
        <w:t> »</w:t>
      </w:r>
      <w:r w:rsidR="00B02C61" w:rsidRPr="004618D5">
        <w:rPr>
          <w:lang w:val="fr-FR"/>
        </w:rPr>
        <w:t xml:space="preserve"> </w:t>
      </w:r>
      <w:r w:rsidR="006821EA" w:rsidRPr="004618D5">
        <w:rPr>
          <w:lang w:val="fr-FR"/>
        </w:rPr>
        <w:t>(« </w:t>
      </w:r>
      <w:r w:rsidR="005C724C" w:rsidRPr="004618D5">
        <w:rPr>
          <w:i/>
          <w:lang w:val="fr-FR"/>
        </w:rPr>
        <w:t>a) coniuge non legalmente separato;</w:t>
      </w:r>
      <w:r w:rsidR="00B02C61" w:rsidRPr="004618D5">
        <w:rPr>
          <w:i/>
          <w:lang w:val="fr-FR"/>
        </w:rPr>
        <w:t xml:space="preserve"> </w:t>
      </w:r>
      <w:r w:rsidR="005C724C" w:rsidRPr="004618D5">
        <w:rPr>
          <w:i/>
          <w:lang w:val="fr-FR"/>
        </w:rPr>
        <w:t>b) figli minori a carico</w:t>
      </w:r>
      <w:r w:rsidR="00B02C61" w:rsidRPr="004618D5">
        <w:rPr>
          <w:i/>
          <w:lang w:val="fr-FR"/>
        </w:rPr>
        <w:t xml:space="preserve"> (</w:t>
      </w:r>
      <w:r w:rsidR="00B55B33" w:rsidRPr="004618D5">
        <w:rPr>
          <w:i/>
          <w:lang w:val="fr-FR"/>
        </w:rPr>
        <w:t>...</w:t>
      </w:r>
      <w:r w:rsidR="00B02C61" w:rsidRPr="004618D5">
        <w:rPr>
          <w:i/>
          <w:lang w:val="fr-FR"/>
        </w:rPr>
        <w:t>)</w:t>
      </w:r>
      <w:r w:rsidR="005C724C" w:rsidRPr="004618D5">
        <w:rPr>
          <w:i/>
          <w:lang w:val="fr-FR"/>
        </w:rPr>
        <w:t>;</w:t>
      </w:r>
      <w:r w:rsidR="00B02C61" w:rsidRPr="004618D5">
        <w:rPr>
          <w:i/>
          <w:lang w:val="fr-FR"/>
        </w:rPr>
        <w:t xml:space="preserve"> </w:t>
      </w:r>
      <w:r w:rsidR="005C724C" w:rsidRPr="004618D5">
        <w:rPr>
          <w:i/>
          <w:lang w:val="fr-FR"/>
        </w:rPr>
        <w:t>c) genitori a carico;</w:t>
      </w:r>
      <w:r w:rsidR="00B02C61" w:rsidRPr="004618D5">
        <w:rPr>
          <w:i/>
          <w:lang w:val="fr-FR"/>
        </w:rPr>
        <w:t xml:space="preserve"> </w:t>
      </w:r>
      <w:r w:rsidR="005C724C" w:rsidRPr="004618D5">
        <w:rPr>
          <w:i/>
          <w:lang w:val="fr-FR"/>
        </w:rPr>
        <w:t>d) parenti entro il terzo grado, a carico, inabili al lavoro secondo la legislazione italiana</w:t>
      </w:r>
      <w:r w:rsidR="00EE09BC" w:rsidRPr="004618D5">
        <w:rPr>
          <w:i/>
          <w:lang w:val="fr-FR"/>
        </w:rPr>
        <w:t> »</w:t>
      </w:r>
      <w:r w:rsidR="00B02C61" w:rsidRPr="004618D5">
        <w:rPr>
          <w:lang w:val="fr-FR"/>
        </w:rPr>
        <w:t>)</w:t>
      </w:r>
      <w:r w:rsidR="005C724C" w:rsidRPr="004618D5">
        <w:rPr>
          <w:lang w:val="fr-FR"/>
        </w:rPr>
        <w:t>.</w:t>
      </w:r>
    </w:p>
    <w:p w:rsidR="00B664A0" w:rsidRPr="004618D5" w:rsidRDefault="00B664A0" w:rsidP="004618D5">
      <w:pPr>
        <w:pStyle w:val="ECHRHeading1"/>
        <w:rPr>
          <w:lang w:val="fr-FR"/>
        </w:rPr>
      </w:pPr>
      <w:r w:rsidRPr="004618D5">
        <w:rPr>
          <w:lang w:val="fr-FR"/>
        </w:rPr>
        <w:t>III.  </w:t>
      </w:r>
      <w:r w:rsidR="00A21EED" w:rsidRPr="004618D5">
        <w:rPr>
          <w:lang w:val="fr-FR"/>
        </w:rPr>
        <w:t xml:space="preserve">LE DROIT ET </w:t>
      </w:r>
      <w:r w:rsidRPr="004618D5">
        <w:rPr>
          <w:lang w:val="fr-FR"/>
        </w:rPr>
        <w:t>LES DOCUMENTS EUROP</w:t>
      </w:r>
      <w:r w:rsidRPr="004618D5">
        <w:rPr>
          <w:rFonts w:cstheme="majorHAnsi"/>
          <w:lang w:val="fr-FR"/>
        </w:rPr>
        <w:t>É</w:t>
      </w:r>
      <w:r w:rsidRPr="004618D5">
        <w:rPr>
          <w:lang w:val="fr-FR"/>
        </w:rPr>
        <w:t>ENS PERTINENTS</w:t>
      </w:r>
    </w:p>
    <w:p w:rsidR="00B664A0" w:rsidRPr="004618D5" w:rsidRDefault="000F5E47" w:rsidP="004618D5">
      <w:pPr>
        <w:pStyle w:val="ECHRHeading2"/>
        <w:rPr>
          <w:lang w:val="fr-FR" w:eastAsia="en-GB"/>
        </w:rPr>
      </w:pPr>
      <w:r w:rsidRPr="004618D5">
        <w:rPr>
          <w:lang w:val="fr-FR"/>
        </w:rPr>
        <w:t>A</w:t>
      </w:r>
      <w:r w:rsidR="00B664A0" w:rsidRPr="004618D5">
        <w:rPr>
          <w:lang w:val="fr-FR"/>
        </w:rPr>
        <w:t xml:space="preserve">.  La </w:t>
      </w:r>
      <w:r w:rsidR="00EE09BC" w:rsidRPr="004618D5">
        <w:rPr>
          <w:lang w:val="fr-FR"/>
        </w:rPr>
        <w:t>d</w:t>
      </w:r>
      <w:r w:rsidR="00B664A0" w:rsidRPr="004618D5">
        <w:rPr>
          <w:lang w:val="fr-FR"/>
        </w:rPr>
        <w:t xml:space="preserve">irective </w:t>
      </w:r>
      <w:r w:rsidRPr="004618D5">
        <w:rPr>
          <w:lang w:val="fr-FR"/>
        </w:rPr>
        <w:t>n</w:t>
      </w:r>
      <w:r w:rsidR="00B55B33" w:rsidRPr="004618D5">
        <w:rPr>
          <w:vertAlign w:val="superscript"/>
          <w:lang w:val="fr-FR"/>
        </w:rPr>
        <w:t>o</w:t>
      </w:r>
      <w:r w:rsidRPr="004618D5">
        <w:rPr>
          <w:lang w:val="fr-FR"/>
        </w:rPr>
        <w:t xml:space="preserve"> </w:t>
      </w:r>
      <w:r w:rsidR="00B664A0" w:rsidRPr="004618D5">
        <w:rPr>
          <w:lang w:val="fr-FR"/>
        </w:rPr>
        <w:t>2004/38/CE</w:t>
      </w:r>
    </w:p>
    <w:p w:rsidR="000F5E47" w:rsidRPr="004618D5" w:rsidRDefault="000F5E47" w:rsidP="004618D5">
      <w:pPr>
        <w:pStyle w:val="ECHRPara"/>
        <w:rPr>
          <w:lang w:val="fr-FR" w:eastAsia="en-GB"/>
        </w:rPr>
      </w:pPr>
      <w:r w:rsidRPr="004618D5">
        <w:rPr>
          <w:lang w:val="fr-FR" w:eastAsia="en-GB"/>
        </w:rPr>
        <w:fldChar w:fldCharType="begin"/>
      </w:r>
      <w:r w:rsidRPr="004618D5">
        <w:rPr>
          <w:lang w:val="fr-FR" w:eastAsia="en-GB"/>
        </w:rPr>
        <w:instrText xml:space="preserve"> SEQ level0 \*arabic </w:instrText>
      </w:r>
      <w:r w:rsidRPr="004618D5">
        <w:rPr>
          <w:lang w:val="fr-FR" w:eastAsia="en-GB"/>
        </w:rPr>
        <w:fldChar w:fldCharType="separate"/>
      </w:r>
      <w:r w:rsidR="004618D5" w:rsidRPr="004618D5">
        <w:rPr>
          <w:noProof/>
          <w:lang w:val="fr-FR" w:eastAsia="en-GB"/>
        </w:rPr>
        <w:t>29</w:t>
      </w:r>
      <w:r w:rsidRPr="004618D5">
        <w:rPr>
          <w:lang w:val="fr-FR" w:eastAsia="en-GB"/>
        </w:rPr>
        <w:fldChar w:fldCharType="end"/>
      </w:r>
      <w:r w:rsidRPr="004618D5">
        <w:rPr>
          <w:lang w:val="fr-FR" w:eastAsia="en-GB"/>
        </w:rPr>
        <w:t>.  La directive n</w:t>
      </w:r>
      <w:r w:rsidR="00B55B33" w:rsidRPr="004618D5">
        <w:rPr>
          <w:vertAlign w:val="superscript"/>
          <w:lang w:val="fr-FR" w:eastAsia="en-GB"/>
        </w:rPr>
        <w:t>o</w:t>
      </w:r>
      <w:r w:rsidRPr="004618D5">
        <w:rPr>
          <w:lang w:val="fr-FR" w:eastAsia="en-GB"/>
        </w:rPr>
        <w:t xml:space="preserve"> </w:t>
      </w:r>
      <w:r w:rsidR="00541573" w:rsidRPr="004618D5">
        <w:rPr>
          <w:lang w:val="fr-FR"/>
        </w:rPr>
        <w:t xml:space="preserve">2004/38/CE </w:t>
      </w:r>
      <w:r w:rsidR="008C07D5" w:rsidRPr="004618D5">
        <w:rPr>
          <w:lang w:val="fr-FR"/>
        </w:rPr>
        <w:t xml:space="preserve">du 29 mai 2004 </w:t>
      </w:r>
      <w:r w:rsidR="00541573" w:rsidRPr="004618D5">
        <w:rPr>
          <w:lang w:val="fr-FR"/>
        </w:rPr>
        <w:t>du Parlement européen et du Conseil</w:t>
      </w:r>
      <w:r w:rsidR="00B02C61" w:rsidRPr="004618D5">
        <w:rPr>
          <w:lang w:val="fr-FR"/>
        </w:rPr>
        <w:t>,</w:t>
      </w:r>
      <w:r w:rsidR="00541573" w:rsidRPr="004618D5">
        <w:rPr>
          <w:lang w:val="fr-FR"/>
        </w:rPr>
        <w:t xml:space="preserve"> </w:t>
      </w:r>
      <w:r w:rsidRPr="004618D5">
        <w:rPr>
          <w:lang w:val="fr-FR" w:eastAsia="en-GB"/>
        </w:rPr>
        <w:t>relative au droit des citoyens de l</w:t>
      </w:r>
      <w:r w:rsidR="004618D5" w:rsidRPr="004618D5">
        <w:rPr>
          <w:lang w:val="fr-FR" w:eastAsia="en-GB"/>
        </w:rPr>
        <w:t>’</w:t>
      </w:r>
      <w:r w:rsidRPr="004618D5">
        <w:rPr>
          <w:lang w:val="fr-FR" w:eastAsia="en-GB"/>
        </w:rPr>
        <w:t>U</w:t>
      </w:r>
      <w:r w:rsidR="00B02C61" w:rsidRPr="004618D5">
        <w:rPr>
          <w:lang w:val="fr-FR" w:eastAsia="en-GB"/>
        </w:rPr>
        <w:t>E</w:t>
      </w:r>
      <w:r w:rsidRPr="004618D5">
        <w:rPr>
          <w:lang w:val="fr-FR" w:eastAsia="en-GB"/>
        </w:rPr>
        <w:t xml:space="preserve"> et des membres de leurs familles de circuler et de séjourner librement sur le territoire des États membres</w:t>
      </w:r>
      <w:r w:rsidR="00B02C61" w:rsidRPr="004618D5">
        <w:rPr>
          <w:lang w:val="fr-FR" w:eastAsia="en-GB"/>
        </w:rPr>
        <w:t>,</w:t>
      </w:r>
      <w:r w:rsidRPr="004618D5">
        <w:rPr>
          <w:lang w:val="fr-FR" w:eastAsia="en-GB"/>
        </w:rPr>
        <w:t xml:space="preserve"> contient les dispositions suivantes</w:t>
      </w:r>
      <w:r w:rsidR="00541573" w:rsidRPr="004618D5">
        <w:rPr>
          <w:lang w:val="fr-FR" w:eastAsia="en-GB"/>
        </w:rPr>
        <w:t> :</w:t>
      </w:r>
    </w:p>
    <w:p w:rsidR="003C111B" w:rsidRPr="004618D5" w:rsidRDefault="003C111B" w:rsidP="004618D5">
      <w:pPr>
        <w:pStyle w:val="ECHRTitleCentre3"/>
        <w:rPr>
          <w:rFonts w:eastAsiaTheme="minorHAnsi"/>
          <w:lang w:val="fr-FR"/>
        </w:rPr>
      </w:pPr>
      <w:r w:rsidRPr="004618D5">
        <w:rPr>
          <w:rFonts w:eastAsiaTheme="minorHAnsi"/>
          <w:lang w:val="fr-FR"/>
        </w:rPr>
        <w:t>Article 2</w:t>
      </w:r>
      <w:r w:rsidR="00966459" w:rsidRPr="004618D5">
        <w:rPr>
          <w:rFonts w:eastAsiaTheme="minorHAnsi"/>
          <w:lang w:val="fr-FR"/>
        </w:rPr>
        <w:br/>
      </w:r>
      <w:r w:rsidRPr="004618D5">
        <w:rPr>
          <w:rFonts w:eastAsiaTheme="minorHAnsi"/>
          <w:lang w:val="fr-FR"/>
        </w:rPr>
        <w:t>Définitions</w:t>
      </w:r>
    </w:p>
    <w:p w:rsidR="003C111B" w:rsidRPr="004618D5" w:rsidRDefault="00541573" w:rsidP="004618D5">
      <w:pPr>
        <w:pStyle w:val="ECHRParaQuote"/>
        <w:rPr>
          <w:rFonts w:eastAsiaTheme="minorHAnsi"/>
          <w:lang w:val="fr-FR"/>
        </w:rPr>
      </w:pPr>
      <w:r w:rsidRPr="004618D5">
        <w:rPr>
          <w:rFonts w:eastAsiaTheme="minorHAnsi"/>
          <w:lang w:val="fr-FR"/>
        </w:rPr>
        <w:t>« </w:t>
      </w:r>
      <w:r w:rsidR="003C111B" w:rsidRPr="004618D5">
        <w:rPr>
          <w:rFonts w:eastAsiaTheme="minorHAnsi"/>
          <w:lang w:val="fr-FR"/>
        </w:rPr>
        <w:t>Aux fins de la présente directive, on entend par</w:t>
      </w:r>
      <w:r w:rsidRPr="004618D5">
        <w:rPr>
          <w:rFonts w:eastAsiaTheme="minorHAnsi"/>
          <w:lang w:val="fr-FR"/>
        </w:rPr>
        <w:t> </w:t>
      </w:r>
      <w:r w:rsidR="003C111B" w:rsidRPr="004618D5">
        <w:rPr>
          <w:rFonts w:eastAsiaTheme="minorHAnsi"/>
          <w:lang w:val="fr-FR"/>
        </w:rPr>
        <w:t>:</w:t>
      </w:r>
    </w:p>
    <w:p w:rsidR="003C111B" w:rsidRPr="004618D5" w:rsidRDefault="003C111B" w:rsidP="004618D5">
      <w:pPr>
        <w:pStyle w:val="ECHRParaQuote"/>
        <w:rPr>
          <w:rFonts w:eastAsiaTheme="minorHAnsi"/>
          <w:lang w:val="fr-FR"/>
        </w:rPr>
      </w:pPr>
      <w:r w:rsidRPr="004618D5">
        <w:rPr>
          <w:rFonts w:eastAsiaTheme="minorHAnsi"/>
          <w:lang w:val="fr-FR"/>
        </w:rPr>
        <w:t>1)</w:t>
      </w:r>
      <w:r w:rsidR="00455767" w:rsidRPr="004618D5">
        <w:rPr>
          <w:rFonts w:eastAsiaTheme="minorHAnsi"/>
          <w:lang w:val="fr-FR"/>
        </w:rPr>
        <w:t>  </w:t>
      </w:r>
      <w:r w:rsidR="00541573" w:rsidRPr="004618D5">
        <w:rPr>
          <w:rFonts w:eastAsiaTheme="minorHAnsi"/>
          <w:lang w:val="fr-FR"/>
        </w:rPr>
        <w:t>« </w:t>
      </w:r>
      <w:r w:rsidRPr="004618D5">
        <w:rPr>
          <w:rFonts w:eastAsiaTheme="minorHAnsi"/>
          <w:lang w:val="fr-FR"/>
        </w:rPr>
        <w:t>citoyen de l</w:t>
      </w:r>
      <w:r w:rsidR="004618D5" w:rsidRPr="004618D5">
        <w:rPr>
          <w:rFonts w:eastAsiaTheme="minorHAnsi"/>
          <w:lang w:val="fr-FR"/>
        </w:rPr>
        <w:t>’</w:t>
      </w:r>
      <w:r w:rsidR="00B92959" w:rsidRPr="004618D5">
        <w:rPr>
          <w:rFonts w:eastAsiaTheme="minorHAnsi"/>
          <w:lang w:val="fr-FR"/>
        </w:rPr>
        <w:t>[UE]</w:t>
      </w:r>
      <w:r w:rsidR="00541573" w:rsidRPr="004618D5">
        <w:rPr>
          <w:rFonts w:eastAsiaTheme="minorHAnsi"/>
          <w:lang w:val="fr-FR"/>
        </w:rPr>
        <w:t> » </w:t>
      </w:r>
      <w:r w:rsidRPr="004618D5">
        <w:rPr>
          <w:rFonts w:eastAsiaTheme="minorHAnsi"/>
          <w:lang w:val="fr-FR"/>
        </w:rPr>
        <w:t>: toute personne ayant la nationalité d</w:t>
      </w:r>
      <w:r w:rsidR="004618D5" w:rsidRPr="004618D5">
        <w:rPr>
          <w:rFonts w:eastAsiaTheme="minorHAnsi"/>
          <w:lang w:val="fr-FR"/>
        </w:rPr>
        <w:t>’</w:t>
      </w:r>
      <w:r w:rsidRPr="004618D5">
        <w:rPr>
          <w:rFonts w:eastAsiaTheme="minorHAnsi"/>
          <w:lang w:val="fr-FR"/>
        </w:rPr>
        <w:t>un État membre</w:t>
      </w:r>
      <w:r w:rsidR="00541573" w:rsidRPr="004618D5">
        <w:rPr>
          <w:rFonts w:eastAsiaTheme="minorHAnsi"/>
          <w:lang w:val="fr-FR"/>
        </w:rPr>
        <w:t> </w:t>
      </w:r>
      <w:r w:rsidRPr="004618D5">
        <w:rPr>
          <w:rFonts w:eastAsiaTheme="minorHAnsi"/>
          <w:lang w:val="fr-FR"/>
        </w:rPr>
        <w:t>;</w:t>
      </w:r>
    </w:p>
    <w:p w:rsidR="003C111B" w:rsidRPr="004618D5" w:rsidRDefault="003C111B" w:rsidP="004618D5">
      <w:pPr>
        <w:pStyle w:val="ECHRParaQuote"/>
        <w:rPr>
          <w:rFonts w:eastAsiaTheme="minorHAnsi"/>
          <w:lang w:val="fr-FR"/>
        </w:rPr>
      </w:pPr>
      <w:r w:rsidRPr="004618D5">
        <w:rPr>
          <w:rFonts w:eastAsiaTheme="minorHAnsi"/>
          <w:lang w:val="fr-FR"/>
        </w:rPr>
        <w:t>2)</w:t>
      </w:r>
      <w:r w:rsidR="00455767" w:rsidRPr="004618D5">
        <w:rPr>
          <w:rFonts w:eastAsiaTheme="minorHAnsi"/>
          <w:lang w:val="fr-FR"/>
        </w:rPr>
        <w:t>  </w:t>
      </w:r>
      <w:r w:rsidR="00541573" w:rsidRPr="004618D5">
        <w:rPr>
          <w:rFonts w:eastAsiaTheme="minorHAnsi"/>
          <w:lang w:val="fr-FR"/>
        </w:rPr>
        <w:t>« </w:t>
      </w:r>
      <w:r w:rsidRPr="004618D5">
        <w:rPr>
          <w:rFonts w:eastAsiaTheme="minorHAnsi"/>
          <w:lang w:val="fr-FR"/>
        </w:rPr>
        <w:t>membre de la famille</w:t>
      </w:r>
      <w:r w:rsidR="00541573" w:rsidRPr="004618D5">
        <w:rPr>
          <w:rFonts w:eastAsiaTheme="minorHAnsi"/>
          <w:lang w:val="fr-FR"/>
        </w:rPr>
        <w:t> »</w:t>
      </w:r>
      <w:r w:rsidR="000F6015" w:rsidRPr="004618D5">
        <w:rPr>
          <w:rFonts w:eastAsiaTheme="minorHAnsi"/>
          <w:lang w:val="fr-FR"/>
        </w:rPr>
        <w:t> </w:t>
      </w:r>
      <w:r w:rsidRPr="004618D5">
        <w:rPr>
          <w:rFonts w:eastAsiaTheme="minorHAnsi"/>
          <w:lang w:val="fr-FR"/>
        </w:rPr>
        <w:t>:</w:t>
      </w:r>
    </w:p>
    <w:p w:rsidR="003C111B" w:rsidRPr="004618D5" w:rsidRDefault="003C111B" w:rsidP="004618D5">
      <w:pPr>
        <w:pStyle w:val="ECHRParaQuote"/>
        <w:ind w:left="567"/>
        <w:rPr>
          <w:rFonts w:eastAsiaTheme="minorHAnsi"/>
          <w:lang w:val="fr-FR"/>
        </w:rPr>
      </w:pPr>
      <w:r w:rsidRPr="004618D5">
        <w:rPr>
          <w:rFonts w:eastAsiaTheme="minorHAnsi"/>
          <w:lang w:val="fr-FR"/>
        </w:rPr>
        <w:t>a)</w:t>
      </w:r>
      <w:r w:rsidR="00455767" w:rsidRPr="004618D5">
        <w:rPr>
          <w:rFonts w:eastAsiaTheme="minorHAnsi"/>
          <w:lang w:val="fr-FR"/>
        </w:rPr>
        <w:t>  </w:t>
      </w:r>
      <w:r w:rsidRPr="004618D5">
        <w:rPr>
          <w:rFonts w:eastAsiaTheme="minorHAnsi"/>
          <w:lang w:val="fr-FR"/>
        </w:rPr>
        <w:t>le conjoint</w:t>
      </w:r>
      <w:r w:rsidR="00B92959" w:rsidRPr="004618D5">
        <w:rPr>
          <w:rFonts w:eastAsiaTheme="minorHAnsi"/>
          <w:lang w:val="fr-FR"/>
        </w:rPr>
        <w:t> </w:t>
      </w:r>
      <w:r w:rsidRPr="004618D5">
        <w:rPr>
          <w:rFonts w:eastAsiaTheme="minorHAnsi"/>
          <w:lang w:val="fr-FR"/>
        </w:rPr>
        <w:t>;</w:t>
      </w:r>
    </w:p>
    <w:p w:rsidR="003C111B" w:rsidRPr="004618D5" w:rsidRDefault="003C111B" w:rsidP="004618D5">
      <w:pPr>
        <w:pStyle w:val="ECHRParaQuote"/>
        <w:ind w:left="567"/>
        <w:rPr>
          <w:rFonts w:eastAsiaTheme="minorHAnsi"/>
          <w:lang w:val="fr-FR"/>
        </w:rPr>
      </w:pPr>
      <w:r w:rsidRPr="004618D5">
        <w:rPr>
          <w:rFonts w:eastAsiaTheme="minorHAnsi"/>
          <w:lang w:val="fr-FR"/>
        </w:rPr>
        <w:t>b)</w:t>
      </w:r>
      <w:r w:rsidR="00455767" w:rsidRPr="004618D5">
        <w:rPr>
          <w:rFonts w:eastAsiaTheme="minorHAnsi"/>
          <w:lang w:val="fr-FR"/>
        </w:rPr>
        <w:t>  </w:t>
      </w:r>
      <w:r w:rsidRPr="004618D5">
        <w:rPr>
          <w:rFonts w:eastAsiaTheme="minorHAnsi"/>
          <w:lang w:val="fr-FR"/>
        </w:rPr>
        <w:t xml:space="preserve">le partenaire avec lequel le citoyen de </w:t>
      </w:r>
      <w:r w:rsidR="00455767" w:rsidRPr="004618D5">
        <w:rPr>
          <w:lang w:val="fr-FR"/>
        </w:rPr>
        <w:t>l</w:t>
      </w:r>
      <w:r w:rsidR="004618D5" w:rsidRPr="004618D5">
        <w:rPr>
          <w:lang w:val="fr-FR"/>
        </w:rPr>
        <w:t>’</w:t>
      </w:r>
      <w:r w:rsidR="00455767" w:rsidRPr="004618D5">
        <w:rPr>
          <w:lang w:val="fr-FR"/>
        </w:rPr>
        <w:t>[UE]</w:t>
      </w:r>
      <w:r w:rsidRPr="004618D5">
        <w:rPr>
          <w:rFonts w:eastAsiaTheme="minorHAnsi"/>
          <w:lang w:val="fr-FR"/>
        </w:rPr>
        <w:t xml:space="preserve"> a contracté un partenariat enregistré, sur</w:t>
      </w:r>
      <w:r w:rsidR="00541573" w:rsidRPr="004618D5">
        <w:rPr>
          <w:rFonts w:eastAsiaTheme="minorHAnsi"/>
          <w:lang w:val="fr-FR"/>
        </w:rPr>
        <w:t xml:space="preserve"> </w:t>
      </w:r>
      <w:r w:rsidRPr="004618D5">
        <w:rPr>
          <w:rFonts w:eastAsiaTheme="minorHAnsi"/>
          <w:lang w:val="fr-FR"/>
        </w:rPr>
        <w:t>la base de la législation d</w:t>
      </w:r>
      <w:r w:rsidR="004618D5" w:rsidRPr="004618D5">
        <w:rPr>
          <w:rFonts w:eastAsiaTheme="minorHAnsi"/>
          <w:lang w:val="fr-FR"/>
        </w:rPr>
        <w:t>’</w:t>
      </w:r>
      <w:r w:rsidRPr="004618D5">
        <w:rPr>
          <w:rFonts w:eastAsiaTheme="minorHAnsi"/>
          <w:lang w:val="fr-FR"/>
        </w:rPr>
        <w:t>un État membre, si, conformément à la législation de l</w:t>
      </w:r>
      <w:r w:rsidR="004618D5" w:rsidRPr="004618D5">
        <w:rPr>
          <w:rFonts w:eastAsiaTheme="minorHAnsi"/>
          <w:lang w:val="fr-FR"/>
        </w:rPr>
        <w:t>’</w:t>
      </w:r>
      <w:r w:rsidRPr="004618D5">
        <w:rPr>
          <w:rFonts w:eastAsiaTheme="minorHAnsi"/>
          <w:lang w:val="fr-FR"/>
        </w:rPr>
        <w:t>État</w:t>
      </w:r>
      <w:r w:rsidR="00541573" w:rsidRPr="004618D5">
        <w:rPr>
          <w:rFonts w:eastAsiaTheme="minorHAnsi"/>
          <w:lang w:val="fr-FR"/>
        </w:rPr>
        <w:t xml:space="preserve"> </w:t>
      </w:r>
      <w:r w:rsidRPr="004618D5">
        <w:rPr>
          <w:rFonts w:eastAsiaTheme="minorHAnsi"/>
          <w:lang w:val="fr-FR"/>
        </w:rPr>
        <w:t>membre d</w:t>
      </w:r>
      <w:r w:rsidR="004618D5" w:rsidRPr="004618D5">
        <w:rPr>
          <w:rFonts w:eastAsiaTheme="minorHAnsi"/>
          <w:lang w:val="fr-FR"/>
        </w:rPr>
        <w:t>’</w:t>
      </w:r>
      <w:r w:rsidRPr="004618D5">
        <w:rPr>
          <w:rFonts w:eastAsiaTheme="minorHAnsi"/>
          <w:lang w:val="fr-FR"/>
        </w:rPr>
        <w:t>accueil, les partenariats enregistrés sont équivalents au mariage, et dans le</w:t>
      </w:r>
      <w:r w:rsidR="00541573" w:rsidRPr="004618D5">
        <w:rPr>
          <w:rFonts w:eastAsiaTheme="minorHAnsi"/>
          <w:lang w:val="fr-FR"/>
        </w:rPr>
        <w:t xml:space="preserve"> </w:t>
      </w:r>
      <w:r w:rsidRPr="004618D5">
        <w:rPr>
          <w:rFonts w:eastAsiaTheme="minorHAnsi"/>
          <w:lang w:val="fr-FR"/>
        </w:rPr>
        <w:t>respect des conditions prévues par la législation</w:t>
      </w:r>
      <w:r w:rsidR="00541573" w:rsidRPr="004618D5">
        <w:rPr>
          <w:rFonts w:eastAsiaTheme="minorHAnsi"/>
          <w:lang w:val="fr-FR"/>
        </w:rPr>
        <w:t xml:space="preserve"> </w:t>
      </w:r>
      <w:r w:rsidRPr="004618D5">
        <w:rPr>
          <w:rFonts w:eastAsiaTheme="minorHAnsi"/>
          <w:lang w:val="fr-FR"/>
        </w:rPr>
        <w:t>pertinente de l</w:t>
      </w:r>
      <w:r w:rsidR="004618D5" w:rsidRPr="004618D5">
        <w:rPr>
          <w:rFonts w:eastAsiaTheme="minorHAnsi"/>
          <w:lang w:val="fr-FR"/>
        </w:rPr>
        <w:t>’</w:t>
      </w:r>
      <w:r w:rsidRPr="004618D5">
        <w:rPr>
          <w:rFonts w:eastAsiaTheme="minorHAnsi"/>
          <w:lang w:val="fr-FR"/>
        </w:rPr>
        <w:t>État membre d</w:t>
      </w:r>
      <w:r w:rsidR="004618D5" w:rsidRPr="004618D5">
        <w:rPr>
          <w:rFonts w:eastAsiaTheme="minorHAnsi"/>
          <w:lang w:val="fr-FR"/>
        </w:rPr>
        <w:t>’</w:t>
      </w:r>
      <w:r w:rsidRPr="004618D5">
        <w:rPr>
          <w:rFonts w:eastAsiaTheme="minorHAnsi"/>
          <w:lang w:val="fr-FR"/>
        </w:rPr>
        <w:t>accueil</w:t>
      </w:r>
      <w:r w:rsidR="00541573" w:rsidRPr="004618D5">
        <w:rPr>
          <w:rFonts w:eastAsiaTheme="minorHAnsi"/>
          <w:lang w:val="fr-FR"/>
        </w:rPr>
        <w:t> </w:t>
      </w:r>
      <w:r w:rsidRPr="004618D5">
        <w:rPr>
          <w:rFonts w:eastAsiaTheme="minorHAnsi"/>
          <w:lang w:val="fr-FR"/>
        </w:rPr>
        <w:t>;</w:t>
      </w:r>
    </w:p>
    <w:p w:rsidR="003C111B" w:rsidRPr="004618D5" w:rsidRDefault="003C111B" w:rsidP="004618D5">
      <w:pPr>
        <w:pStyle w:val="ECHRParaQuote"/>
        <w:ind w:left="567"/>
        <w:rPr>
          <w:rFonts w:eastAsiaTheme="minorHAnsi"/>
          <w:lang w:val="fr-FR"/>
        </w:rPr>
      </w:pPr>
      <w:r w:rsidRPr="004618D5">
        <w:rPr>
          <w:rFonts w:eastAsiaTheme="minorHAnsi"/>
          <w:lang w:val="fr-FR"/>
        </w:rPr>
        <w:t>c)</w:t>
      </w:r>
      <w:r w:rsidR="00455767" w:rsidRPr="004618D5">
        <w:rPr>
          <w:rFonts w:eastAsiaTheme="minorHAnsi"/>
          <w:lang w:val="fr-FR"/>
        </w:rPr>
        <w:t>  </w:t>
      </w:r>
      <w:r w:rsidRPr="004618D5">
        <w:rPr>
          <w:rFonts w:eastAsiaTheme="minorHAnsi"/>
          <w:lang w:val="fr-FR"/>
        </w:rPr>
        <w:t>les descendants directs qui sont âgés de moins de vingt</w:t>
      </w:r>
      <w:r w:rsidR="00B92959" w:rsidRPr="004618D5">
        <w:rPr>
          <w:rFonts w:eastAsiaTheme="minorHAnsi"/>
          <w:lang w:val="fr-FR"/>
        </w:rPr>
        <w:t xml:space="preserve"> </w:t>
      </w:r>
      <w:r w:rsidRPr="004618D5">
        <w:rPr>
          <w:rFonts w:eastAsiaTheme="minorHAnsi"/>
          <w:lang w:val="fr-FR"/>
        </w:rPr>
        <w:t>et</w:t>
      </w:r>
      <w:r w:rsidR="00B92959" w:rsidRPr="004618D5">
        <w:rPr>
          <w:rFonts w:eastAsiaTheme="minorHAnsi"/>
          <w:lang w:val="fr-FR"/>
        </w:rPr>
        <w:t xml:space="preserve"> </w:t>
      </w:r>
      <w:r w:rsidRPr="004618D5">
        <w:rPr>
          <w:rFonts w:eastAsiaTheme="minorHAnsi"/>
          <w:lang w:val="fr-FR"/>
        </w:rPr>
        <w:t>un ans ou qui sont à charge,</w:t>
      </w:r>
      <w:r w:rsidR="00541573" w:rsidRPr="004618D5">
        <w:rPr>
          <w:rFonts w:eastAsiaTheme="minorHAnsi"/>
          <w:lang w:val="fr-FR"/>
        </w:rPr>
        <w:t xml:space="preserve"> </w:t>
      </w:r>
      <w:r w:rsidRPr="004618D5">
        <w:rPr>
          <w:rFonts w:eastAsiaTheme="minorHAnsi"/>
          <w:lang w:val="fr-FR"/>
        </w:rPr>
        <w:t>et les descendants directs du conjoint ou du partenaire tel que visé au point b)</w:t>
      </w:r>
      <w:r w:rsidR="00541573" w:rsidRPr="004618D5">
        <w:rPr>
          <w:rFonts w:eastAsiaTheme="minorHAnsi"/>
          <w:lang w:val="fr-FR"/>
        </w:rPr>
        <w:t> </w:t>
      </w:r>
      <w:r w:rsidRPr="004618D5">
        <w:rPr>
          <w:rFonts w:eastAsiaTheme="minorHAnsi"/>
          <w:lang w:val="fr-FR"/>
        </w:rPr>
        <w:t>;</w:t>
      </w:r>
    </w:p>
    <w:p w:rsidR="003C111B" w:rsidRPr="004618D5" w:rsidRDefault="003C111B" w:rsidP="004618D5">
      <w:pPr>
        <w:pStyle w:val="ECHRParaQuote"/>
        <w:ind w:left="567"/>
        <w:rPr>
          <w:rFonts w:eastAsiaTheme="minorHAnsi"/>
          <w:lang w:val="fr-FR"/>
        </w:rPr>
      </w:pPr>
      <w:r w:rsidRPr="004618D5">
        <w:rPr>
          <w:rFonts w:eastAsiaTheme="minorHAnsi"/>
          <w:lang w:val="fr-FR"/>
        </w:rPr>
        <w:lastRenderedPageBreak/>
        <w:t>d)</w:t>
      </w:r>
      <w:r w:rsidR="00455767" w:rsidRPr="004618D5">
        <w:rPr>
          <w:rFonts w:eastAsiaTheme="minorHAnsi"/>
          <w:lang w:val="fr-FR"/>
        </w:rPr>
        <w:t>  </w:t>
      </w:r>
      <w:r w:rsidRPr="004618D5">
        <w:rPr>
          <w:rFonts w:eastAsiaTheme="minorHAnsi"/>
          <w:lang w:val="fr-FR"/>
        </w:rPr>
        <w:t>les ascendants directs à charge et ceux du conjoint ou du partenaire tel</w:t>
      </w:r>
      <w:r w:rsidR="00541573" w:rsidRPr="004618D5">
        <w:rPr>
          <w:rFonts w:eastAsiaTheme="minorHAnsi"/>
          <w:lang w:val="fr-FR"/>
        </w:rPr>
        <w:t xml:space="preserve"> </w:t>
      </w:r>
      <w:r w:rsidRPr="004618D5">
        <w:rPr>
          <w:rFonts w:eastAsiaTheme="minorHAnsi"/>
          <w:lang w:val="fr-FR"/>
        </w:rPr>
        <w:t>que visé au</w:t>
      </w:r>
      <w:r w:rsidR="00541573" w:rsidRPr="004618D5">
        <w:rPr>
          <w:rFonts w:eastAsiaTheme="minorHAnsi"/>
          <w:lang w:val="fr-FR"/>
        </w:rPr>
        <w:t xml:space="preserve"> </w:t>
      </w:r>
      <w:r w:rsidRPr="004618D5">
        <w:rPr>
          <w:rFonts w:eastAsiaTheme="minorHAnsi"/>
          <w:lang w:val="fr-FR"/>
        </w:rPr>
        <w:t>point b)</w:t>
      </w:r>
      <w:r w:rsidR="00541573" w:rsidRPr="004618D5">
        <w:rPr>
          <w:rFonts w:eastAsiaTheme="minorHAnsi"/>
          <w:lang w:val="fr-FR"/>
        </w:rPr>
        <w:t> </w:t>
      </w:r>
      <w:r w:rsidRPr="004618D5">
        <w:rPr>
          <w:rFonts w:eastAsiaTheme="minorHAnsi"/>
          <w:lang w:val="fr-FR"/>
        </w:rPr>
        <w:t>;</w:t>
      </w:r>
    </w:p>
    <w:p w:rsidR="003C111B" w:rsidRPr="004618D5" w:rsidRDefault="003C111B" w:rsidP="004618D5">
      <w:pPr>
        <w:pStyle w:val="ECHRParaQuote"/>
        <w:rPr>
          <w:b/>
          <w:lang w:val="fr-FR" w:eastAsia="en-GB"/>
        </w:rPr>
      </w:pPr>
      <w:r w:rsidRPr="004618D5">
        <w:rPr>
          <w:rFonts w:eastAsiaTheme="minorHAnsi"/>
          <w:lang w:val="fr-FR"/>
        </w:rPr>
        <w:t>3)</w:t>
      </w:r>
      <w:r w:rsidR="00455767" w:rsidRPr="004618D5">
        <w:rPr>
          <w:rFonts w:eastAsiaTheme="minorHAnsi"/>
          <w:lang w:val="fr-FR"/>
        </w:rPr>
        <w:t>  </w:t>
      </w:r>
      <w:r w:rsidR="00541573" w:rsidRPr="004618D5">
        <w:rPr>
          <w:rFonts w:eastAsiaTheme="minorHAnsi"/>
          <w:lang w:val="fr-FR"/>
        </w:rPr>
        <w:t>« </w:t>
      </w:r>
      <w:r w:rsidRPr="004618D5">
        <w:rPr>
          <w:rFonts w:eastAsiaTheme="minorHAnsi"/>
          <w:lang w:val="fr-FR"/>
        </w:rPr>
        <w:t>État membre d</w:t>
      </w:r>
      <w:r w:rsidR="004618D5" w:rsidRPr="004618D5">
        <w:rPr>
          <w:rFonts w:eastAsiaTheme="minorHAnsi"/>
          <w:lang w:val="fr-FR"/>
        </w:rPr>
        <w:t>’</w:t>
      </w:r>
      <w:r w:rsidRPr="004618D5">
        <w:rPr>
          <w:rFonts w:eastAsiaTheme="minorHAnsi"/>
          <w:lang w:val="fr-FR"/>
        </w:rPr>
        <w:t>accueil</w:t>
      </w:r>
      <w:r w:rsidR="00541573" w:rsidRPr="004618D5">
        <w:rPr>
          <w:rFonts w:eastAsiaTheme="minorHAnsi"/>
          <w:lang w:val="fr-FR"/>
        </w:rPr>
        <w:t xml:space="preserve"> » </w:t>
      </w:r>
      <w:r w:rsidRPr="004618D5">
        <w:rPr>
          <w:rFonts w:eastAsiaTheme="minorHAnsi"/>
          <w:lang w:val="fr-FR"/>
        </w:rPr>
        <w:t>: l</w:t>
      </w:r>
      <w:r w:rsidR="004618D5" w:rsidRPr="004618D5">
        <w:rPr>
          <w:rFonts w:eastAsiaTheme="minorHAnsi"/>
          <w:lang w:val="fr-FR"/>
        </w:rPr>
        <w:t>’</w:t>
      </w:r>
      <w:r w:rsidRPr="004618D5">
        <w:rPr>
          <w:rFonts w:eastAsiaTheme="minorHAnsi"/>
          <w:lang w:val="fr-FR"/>
        </w:rPr>
        <w:t xml:space="preserve">État membre dans lequel se rend un citoyen de </w:t>
      </w:r>
      <w:r w:rsidR="00455767" w:rsidRPr="004618D5">
        <w:rPr>
          <w:lang w:val="fr-FR"/>
        </w:rPr>
        <w:t>l</w:t>
      </w:r>
      <w:r w:rsidR="004618D5" w:rsidRPr="004618D5">
        <w:rPr>
          <w:lang w:val="fr-FR"/>
        </w:rPr>
        <w:t>’</w:t>
      </w:r>
      <w:r w:rsidR="00455767" w:rsidRPr="004618D5">
        <w:rPr>
          <w:lang w:val="fr-FR"/>
        </w:rPr>
        <w:t>[UE]</w:t>
      </w:r>
      <w:r w:rsidRPr="004618D5">
        <w:rPr>
          <w:rFonts w:eastAsiaTheme="minorHAnsi"/>
          <w:lang w:val="fr-FR"/>
        </w:rPr>
        <w:t xml:space="preserve"> en vue</w:t>
      </w:r>
      <w:r w:rsidR="00541573" w:rsidRPr="004618D5">
        <w:rPr>
          <w:rFonts w:eastAsiaTheme="minorHAnsi"/>
          <w:lang w:val="fr-FR"/>
        </w:rPr>
        <w:t xml:space="preserve"> </w:t>
      </w:r>
      <w:r w:rsidRPr="004618D5">
        <w:rPr>
          <w:rFonts w:eastAsiaTheme="minorHAnsi"/>
          <w:lang w:val="fr-FR"/>
        </w:rPr>
        <w:t>d</w:t>
      </w:r>
      <w:r w:rsidR="004618D5" w:rsidRPr="004618D5">
        <w:rPr>
          <w:rFonts w:eastAsiaTheme="minorHAnsi"/>
          <w:lang w:val="fr-FR"/>
        </w:rPr>
        <w:t>’</w:t>
      </w:r>
      <w:r w:rsidRPr="004618D5">
        <w:rPr>
          <w:rFonts w:eastAsiaTheme="minorHAnsi"/>
          <w:lang w:val="fr-FR"/>
        </w:rPr>
        <w:t>exercer son droit de circuler et de séjourner librement.</w:t>
      </w:r>
      <w:r w:rsidR="00541573" w:rsidRPr="004618D5">
        <w:rPr>
          <w:rFonts w:eastAsiaTheme="minorHAnsi"/>
          <w:lang w:val="fr-FR"/>
        </w:rPr>
        <w:t> »</w:t>
      </w:r>
    </w:p>
    <w:p w:rsidR="00B664A0" w:rsidRPr="004618D5" w:rsidRDefault="00B664A0" w:rsidP="004618D5">
      <w:pPr>
        <w:pStyle w:val="ECHRTitleCentre3"/>
        <w:rPr>
          <w:bCs/>
          <w:lang w:val="fr-FR" w:eastAsia="en-GB"/>
        </w:rPr>
      </w:pPr>
      <w:r w:rsidRPr="004618D5">
        <w:rPr>
          <w:lang w:val="fr-FR" w:eastAsia="en-GB"/>
        </w:rPr>
        <w:t>Article 3</w:t>
      </w:r>
      <w:r w:rsidR="00966459" w:rsidRPr="004618D5">
        <w:rPr>
          <w:lang w:val="fr-FR" w:eastAsia="en-GB"/>
        </w:rPr>
        <w:br/>
      </w:r>
      <w:r w:rsidRPr="004618D5">
        <w:rPr>
          <w:lang w:val="fr-FR" w:eastAsia="en-GB"/>
        </w:rPr>
        <w:t>Bénéficiaires</w:t>
      </w:r>
    </w:p>
    <w:p w:rsidR="00B664A0" w:rsidRPr="004618D5" w:rsidRDefault="00B664A0" w:rsidP="004618D5">
      <w:pPr>
        <w:pStyle w:val="ECHRParaQuote"/>
        <w:rPr>
          <w:lang w:val="fr-FR" w:eastAsia="en-GB"/>
        </w:rPr>
      </w:pPr>
      <w:r w:rsidRPr="004618D5">
        <w:rPr>
          <w:lang w:val="fr-FR" w:eastAsia="en-GB"/>
        </w:rPr>
        <w:t>« 1.</w:t>
      </w:r>
      <w:r w:rsidR="00455767" w:rsidRPr="004618D5">
        <w:rPr>
          <w:lang w:val="fr-FR" w:eastAsia="en-GB"/>
        </w:rPr>
        <w:t>  </w:t>
      </w:r>
      <w:r w:rsidRPr="004618D5">
        <w:rPr>
          <w:lang w:val="fr-FR" w:eastAsia="en-GB"/>
        </w:rPr>
        <w:t>La présente directive s</w:t>
      </w:r>
      <w:r w:rsidR="004618D5" w:rsidRPr="004618D5">
        <w:rPr>
          <w:lang w:val="fr-FR" w:eastAsia="en-GB"/>
        </w:rPr>
        <w:t>’</w:t>
      </w:r>
      <w:r w:rsidRPr="004618D5">
        <w:rPr>
          <w:lang w:val="fr-FR" w:eastAsia="en-GB"/>
        </w:rPr>
        <w:t xml:space="preserve">applique à tout citoyen de </w:t>
      </w:r>
      <w:r w:rsidR="00455767" w:rsidRPr="004618D5">
        <w:rPr>
          <w:lang w:val="fr-FR"/>
        </w:rPr>
        <w:t>l</w:t>
      </w:r>
      <w:r w:rsidR="004618D5" w:rsidRPr="004618D5">
        <w:rPr>
          <w:lang w:val="fr-FR"/>
        </w:rPr>
        <w:t>’</w:t>
      </w:r>
      <w:r w:rsidR="00455767" w:rsidRPr="004618D5">
        <w:rPr>
          <w:lang w:val="fr-FR"/>
        </w:rPr>
        <w:t>[UE]</w:t>
      </w:r>
      <w:r w:rsidRPr="004618D5">
        <w:rPr>
          <w:lang w:val="fr-FR" w:eastAsia="en-GB"/>
        </w:rPr>
        <w:t xml:space="preserve"> qui se rend ou séjourne dans un État membre autre que celui dont il a la nationalité, ainsi qu</w:t>
      </w:r>
      <w:r w:rsidR="004618D5" w:rsidRPr="004618D5">
        <w:rPr>
          <w:lang w:val="fr-FR" w:eastAsia="en-GB"/>
        </w:rPr>
        <w:t>’</w:t>
      </w:r>
      <w:r w:rsidRPr="004618D5">
        <w:rPr>
          <w:lang w:val="fr-FR" w:eastAsia="en-GB"/>
        </w:rPr>
        <w:t>aux membres de sa famille, tels que définis à l</w:t>
      </w:r>
      <w:r w:rsidR="004618D5" w:rsidRPr="004618D5">
        <w:rPr>
          <w:lang w:val="fr-FR" w:eastAsia="en-GB"/>
        </w:rPr>
        <w:t>’</w:t>
      </w:r>
      <w:r w:rsidRPr="004618D5">
        <w:rPr>
          <w:lang w:val="fr-FR" w:eastAsia="en-GB"/>
        </w:rPr>
        <w:t>article 2, point 2), qui l</w:t>
      </w:r>
      <w:r w:rsidR="004618D5" w:rsidRPr="004618D5">
        <w:rPr>
          <w:lang w:val="fr-FR" w:eastAsia="en-GB"/>
        </w:rPr>
        <w:t>’</w:t>
      </w:r>
      <w:r w:rsidRPr="004618D5">
        <w:rPr>
          <w:lang w:val="fr-FR" w:eastAsia="en-GB"/>
        </w:rPr>
        <w:t>accompagnent ou le rejoignent.</w:t>
      </w:r>
    </w:p>
    <w:p w:rsidR="00B664A0" w:rsidRPr="004618D5" w:rsidRDefault="00B664A0" w:rsidP="004618D5">
      <w:pPr>
        <w:pStyle w:val="ECHRParaQuote"/>
        <w:rPr>
          <w:lang w:val="fr-FR" w:eastAsia="en-GB"/>
        </w:rPr>
      </w:pPr>
      <w:r w:rsidRPr="004618D5">
        <w:rPr>
          <w:lang w:val="fr-FR" w:eastAsia="en-GB"/>
        </w:rPr>
        <w:t>2.</w:t>
      </w:r>
      <w:r w:rsidR="00455767" w:rsidRPr="004618D5">
        <w:rPr>
          <w:lang w:val="fr-FR" w:eastAsia="en-GB"/>
        </w:rPr>
        <w:t>  </w:t>
      </w:r>
      <w:r w:rsidRPr="004618D5">
        <w:rPr>
          <w:lang w:val="fr-FR" w:eastAsia="en-GB"/>
        </w:rPr>
        <w:t>Sans préjudice d</w:t>
      </w:r>
      <w:r w:rsidR="004618D5" w:rsidRPr="004618D5">
        <w:rPr>
          <w:lang w:val="fr-FR" w:eastAsia="en-GB"/>
        </w:rPr>
        <w:t>’</w:t>
      </w:r>
      <w:r w:rsidRPr="004618D5">
        <w:rPr>
          <w:lang w:val="fr-FR" w:eastAsia="en-GB"/>
        </w:rPr>
        <w:t>un droit personnel à la libre circulation et au séjour de l</w:t>
      </w:r>
      <w:r w:rsidR="004618D5" w:rsidRPr="004618D5">
        <w:rPr>
          <w:lang w:val="fr-FR" w:eastAsia="en-GB"/>
        </w:rPr>
        <w:t>’</w:t>
      </w:r>
      <w:r w:rsidRPr="004618D5">
        <w:rPr>
          <w:lang w:val="fr-FR" w:eastAsia="en-GB"/>
        </w:rPr>
        <w:t>intéressé, l</w:t>
      </w:r>
      <w:r w:rsidR="004618D5" w:rsidRPr="004618D5">
        <w:rPr>
          <w:lang w:val="fr-FR" w:eastAsia="en-GB"/>
        </w:rPr>
        <w:t>’</w:t>
      </w:r>
      <w:r w:rsidRPr="004618D5">
        <w:rPr>
          <w:lang w:val="fr-FR" w:eastAsia="en-GB"/>
        </w:rPr>
        <w:t>État membre d</w:t>
      </w:r>
      <w:r w:rsidR="004618D5" w:rsidRPr="004618D5">
        <w:rPr>
          <w:lang w:val="fr-FR" w:eastAsia="en-GB"/>
        </w:rPr>
        <w:t>’</w:t>
      </w:r>
      <w:r w:rsidRPr="004618D5">
        <w:rPr>
          <w:lang w:val="fr-FR" w:eastAsia="en-GB"/>
        </w:rPr>
        <w:t>accueil favorise, conformément à sa législation nationale, l</w:t>
      </w:r>
      <w:r w:rsidR="004618D5" w:rsidRPr="004618D5">
        <w:rPr>
          <w:lang w:val="fr-FR" w:eastAsia="en-GB"/>
        </w:rPr>
        <w:t>’</w:t>
      </w:r>
      <w:r w:rsidRPr="004618D5">
        <w:rPr>
          <w:lang w:val="fr-FR" w:eastAsia="en-GB"/>
        </w:rPr>
        <w:t>entrée et le séjour des personnes suivantes</w:t>
      </w:r>
      <w:r w:rsidR="003C111B" w:rsidRPr="004618D5">
        <w:rPr>
          <w:lang w:val="fr-FR" w:eastAsia="en-GB"/>
        </w:rPr>
        <w:t> </w:t>
      </w:r>
      <w:r w:rsidRPr="004618D5">
        <w:rPr>
          <w:lang w:val="fr-FR" w:eastAsia="en-GB"/>
        </w:rPr>
        <w:t>:</w:t>
      </w:r>
    </w:p>
    <w:p w:rsidR="00B664A0" w:rsidRPr="004618D5" w:rsidRDefault="00B664A0" w:rsidP="004618D5">
      <w:pPr>
        <w:pStyle w:val="ECHRParaQuote"/>
        <w:rPr>
          <w:lang w:val="fr-FR" w:eastAsia="en-GB"/>
        </w:rPr>
      </w:pPr>
      <w:r w:rsidRPr="004618D5">
        <w:rPr>
          <w:lang w:val="fr-FR" w:eastAsia="en-GB"/>
        </w:rPr>
        <w:t>a)</w:t>
      </w:r>
      <w:r w:rsidR="00455767" w:rsidRPr="004618D5">
        <w:rPr>
          <w:lang w:val="fr-FR" w:eastAsia="en-GB"/>
        </w:rPr>
        <w:t>  </w:t>
      </w:r>
      <w:r w:rsidRPr="004618D5">
        <w:rPr>
          <w:lang w:val="fr-FR" w:eastAsia="en-GB"/>
        </w:rPr>
        <w:t>tout autre membre de la famille, quelle que soit sa nationalité, qui n</w:t>
      </w:r>
      <w:r w:rsidR="004618D5" w:rsidRPr="004618D5">
        <w:rPr>
          <w:lang w:val="fr-FR" w:eastAsia="en-GB"/>
        </w:rPr>
        <w:t>’</w:t>
      </w:r>
      <w:r w:rsidRPr="004618D5">
        <w:rPr>
          <w:lang w:val="fr-FR" w:eastAsia="en-GB"/>
        </w:rPr>
        <w:t xml:space="preserve">est pas couvert par la définition figurant à </w:t>
      </w:r>
      <w:r w:rsidR="003C111B" w:rsidRPr="004618D5">
        <w:rPr>
          <w:lang w:val="fr-FR" w:eastAsia="en-GB"/>
        </w:rPr>
        <w:t>l</w:t>
      </w:r>
      <w:r w:rsidR="004618D5" w:rsidRPr="004618D5">
        <w:rPr>
          <w:lang w:val="fr-FR" w:eastAsia="en-GB"/>
        </w:rPr>
        <w:t>’</w:t>
      </w:r>
      <w:r w:rsidRPr="004618D5">
        <w:rPr>
          <w:lang w:val="fr-FR" w:eastAsia="en-GB"/>
        </w:rPr>
        <w:t xml:space="preserve">article 2, point 2), si, dans le pays de provenance, il est à charge ou fait partie du ménage du citoyen de </w:t>
      </w:r>
      <w:r w:rsidR="00455767" w:rsidRPr="004618D5">
        <w:rPr>
          <w:lang w:val="fr-FR"/>
        </w:rPr>
        <w:t>l</w:t>
      </w:r>
      <w:r w:rsidR="004618D5" w:rsidRPr="004618D5">
        <w:rPr>
          <w:lang w:val="fr-FR"/>
        </w:rPr>
        <w:t>’</w:t>
      </w:r>
      <w:r w:rsidR="00455767" w:rsidRPr="004618D5">
        <w:rPr>
          <w:lang w:val="fr-FR"/>
        </w:rPr>
        <w:t>[UE]</w:t>
      </w:r>
      <w:r w:rsidRPr="004618D5">
        <w:rPr>
          <w:lang w:val="fr-FR" w:eastAsia="en-GB"/>
        </w:rPr>
        <w:t xml:space="preserve"> bénéficiaire du droit de séjour à titre principal, ou lorsque, pour des raisons de santé graves, le citoyen de </w:t>
      </w:r>
      <w:r w:rsidR="00455767" w:rsidRPr="004618D5">
        <w:rPr>
          <w:lang w:val="fr-FR"/>
        </w:rPr>
        <w:t>l</w:t>
      </w:r>
      <w:r w:rsidR="004618D5" w:rsidRPr="004618D5">
        <w:rPr>
          <w:lang w:val="fr-FR"/>
        </w:rPr>
        <w:t>’</w:t>
      </w:r>
      <w:r w:rsidR="00455767" w:rsidRPr="004618D5">
        <w:rPr>
          <w:lang w:val="fr-FR"/>
        </w:rPr>
        <w:t>[UE]</w:t>
      </w:r>
      <w:r w:rsidRPr="004618D5">
        <w:rPr>
          <w:lang w:val="fr-FR" w:eastAsia="en-GB"/>
        </w:rPr>
        <w:t xml:space="preserve"> doit impérativement et personnellement s</w:t>
      </w:r>
      <w:r w:rsidR="004618D5" w:rsidRPr="004618D5">
        <w:rPr>
          <w:lang w:val="fr-FR" w:eastAsia="en-GB"/>
        </w:rPr>
        <w:t>’</w:t>
      </w:r>
      <w:r w:rsidRPr="004618D5">
        <w:rPr>
          <w:lang w:val="fr-FR" w:eastAsia="en-GB"/>
        </w:rPr>
        <w:t>occuper du membre de la famille concerné</w:t>
      </w:r>
      <w:r w:rsidR="003C111B" w:rsidRPr="004618D5">
        <w:rPr>
          <w:lang w:val="fr-FR" w:eastAsia="en-GB"/>
        </w:rPr>
        <w:t> </w:t>
      </w:r>
      <w:r w:rsidRPr="004618D5">
        <w:rPr>
          <w:lang w:val="fr-FR" w:eastAsia="en-GB"/>
        </w:rPr>
        <w:t>;</w:t>
      </w:r>
    </w:p>
    <w:p w:rsidR="00B664A0" w:rsidRPr="004618D5" w:rsidRDefault="00B664A0" w:rsidP="004618D5">
      <w:pPr>
        <w:pStyle w:val="ECHRParaQuote"/>
        <w:rPr>
          <w:lang w:val="fr-FR" w:eastAsia="en-GB"/>
        </w:rPr>
      </w:pPr>
      <w:r w:rsidRPr="004618D5">
        <w:rPr>
          <w:lang w:val="fr-FR" w:eastAsia="en-GB"/>
        </w:rPr>
        <w:t>b)</w:t>
      </w:r>
      <w:r w:rsidR="00455767" w:rsidRPr="004618D5">
        <w:rPr>
          <w:lang w:val="fr-FR" w:eastAsia="en-GB"/>
        </w:rPr>
        <w:t>  </w:t>
      </w:r>
      <w:r w:rsidRPr="004618D5">
        <w:rPr>
          <w:lang w:val="fr-FR" w:eastAsia="en-GB"/>
        </w:rPr>
        <w:t xml:space="preserve">le partenaire avec lequel le citoyen de </w:t>
      </w:r>
      <w:r w:rsidR="00455767" w:rsidRPr="004618D5">
        <w:rPr>
          <w:lang w:val="fr-FR"/>
        </w:rPr>
        <w:t>l</w:t>
      </w:r>
      <w:r w:rsidR="004618D5" w:rsidRPr="004618D5">
        <w:rPr>
          <w:lang w:val="fr-FR"/>
        </w:rPr>
        <w:t>’</w:t>
      </w:r>
      <w:r w:rsidR="00455767" w:rsidRPr="004618D5">
        <w:rPr>
          <w:lang w:val="fr-FR"/>
        </w:rPr>
        <w:t>[UE]</w:t>
      </w:r>
      <w:r w:rsidRPr="004618D5">
        <w:rPr>
          <w:lang w:val="fr-FR" w:eastAsia="en-GB"/>
        </w:rPr>
        <w:t xml:space="preserve"> a une relation durable, dûment attestée. »</w:t>
      </w:r>
    </w:p>
    <w:p w:rsidR="00B664A0" w:rsidRPr="004618D5" w:rsidRDefault="00B664A0" w:rsidP="004618D5">
      <w:pPr>
        <w:pStyle w:val="ECHRTitleCentre3"/>
        <w:rPr>
          <w:lang w:val="fr-FR"/>
        </w:rPr>
      </w:pPr>
      <w:r w:rsidRPr="004618D5">
        <w:rPr>
          <w:lang w:val="fr-FR" w:eastAsia="en-GB"/>
        </w:rPr>
        <w:t>Article 10</w:t>
      </w:r>
      <w:r w:rsidR="00966459" w:rsidRPr="004618D5">
        <w:rPr>
          <w:lang w:val="fr-FR" w:eastAsia="en-GB"/>
        </w:rPr>
        <w:br/>
      </w:r>
      <w:r w:rsidRPr="004618D5">
        <w:rPr>
          <w:lang w:val="fr-FR"/>
        </w:rPr>
        <w:t>Délivrance de la carte de séjour</w:t>
      </w:r>
    </w:p>
    <w:p w:rsidR="00B664A0" w:rsidRPr="004618D5" w:rsidRDefault="00B664A0" w:rsidP="004618D5">
      <w:pPr>
        <w:pStyle w:val="ECHRParaQuote"/>
        <w:rPr>
          <w:lang w:val="fr-FR" w:eastAsia="en-GB"/>
        </w:rPr>
      </w:pPr>
      <w:r w:rsidRPr="004618D5">
        <w:rPr>
          <w:lang w:val="fr-FR" w:eastAsia="en-GB"/>
        </w:rPr>
        <w:t>« 1.</w:t>
      </w:r>
      <w:r w:rsidR="00455767" w:rsidRPr="004618D5">
        <w:rPr>
          <w:lang w:val="fr-FR" w:eastAsia="en-GB"/>
        </w:rPr>
        <w:t>  </w:t>
      </w:r>
      <w:r w:rsidRPr="004618D5">
        <w:rPr>
          <w:lang w:val="fr-FR" w:eastAsia="en-GB"/>
        </w:rPr>
        <w:t>Le droit de séjour des membres de la famille d</w:t>
      </w:r>
      <w:r w:rsidR="004618D5" w:rsidRPr="004618D5">
        <w:rPr>
          <w:lang w:val="fr-FR" w:eastAsia="en-GB"/>
        </w:rPr>
        <w:t>’</w:t>
      </w:r>
      <w:r w:rsidRPr="004618D5">
        <w:rPr>
          <w:lang w:val="fr-FR" w:eastAsia="en-GB"/>
        </w:rPr>
        <w:t xml:space="preserve">un citoyen de </w:t>
      </w:r>
      <w:r w:rsidR="00455767" w:rsidRPr="004618D5">
        <w:rPr>
          <w:lang w:val="fr-FR"/>
        </w:rPr>
        <w:t>l</w:t>
      </w:r>
      <w:r w:rsidR="004618D5" w:rsidRPr="004618D5">
        <w:rPr>
          <w:lang w:val="fr-FR"/>
        </w:rPr>
        <w:t>’</w:t>
      </w:r>
      <w:r w:rsidR="00455767" w:rsidRPr="004618D5">
        <w:rPr>
          <w:lang w:val="fr-FR"/>
        </w:rPr>
        <w:t>[UE]</w:t>
      </w:r>
      <w:r w:rsidRPr="004618D5">
        <w:rPr>
          <w:lang w:val="fr-FR" w:eastAsia="en-GB"/>
        </w:rPr>
        <w:t xml:space="preserve"> qui n</w:t>
      </w:r>
      <w:r w:rsidR="004618D5" w:rsidRPr="004618D5">
        <w:rPr>
          <w:lang w:val="fr-FR" w:eastAsia="en-GB"/>
        </w:rPr>
        <w:t>’</w:t>
      </w:r>
      <w:r w:rsidRPr="004618D5">
        <w:rPr>
          <w:lang w:val="fr-FR" w:eastAsia="en-GB"/>
        </w:rPr>
        <w:t>ont pas la nationalité d</w:t>
      </w:r>
      <w:r w:rsidR="004618D5" w:rsidRPr="004618D5">
        <w:rPr>
          <w:lang w:val="fr-FR" w:eastAsia="en-GB"/>
        </w:rPr>
        <w:t>’</w:t>
      </w:r>
      <w:r w:rsidRPr="004618D5">
        <w:rPr>
          <w:lang w:val="fr-FR" w:eastAsia="en-GB"/>
        </w:rPr>
        <w:t>un État membre est constaté par la délivrance d</w:t>
      </w:r>
      <w:r w:rsidR="004618D5" w:rsidRPr="004618D5">
        <w:rPr>
          <w:lang w:val="fr-FR" w:eastAsia="en-GB"/>
        </w:rPr>
        <w:t>’</w:t>
      </w:r>
      <w:r w:rsidRPr="004618D5">
        <w:rPr>
          <w:lang w:val="fr-FR" w:eastAsia="en-GB"/>
        </w:rPr>
        <w:t>un document dénommé «</w:t>
      </w:r>
      <w:r w:rsidR="003C111B" w:rsidRPr="004618D5">
        <w:rPr>
          <w:lang w:val="fr-FR" w:eastAsia="en-GB"/>
        </w:rPr>
        <w:t> </w:t>
      </w:r>
      <w:r w:rsidRPr="004618D5">
        <w:rPr>
          <w:lang w:val="fr-FR" w:eastAsia="en-GB"/>
        </w:rPr>
        <w:t>Carte de séjour de membre de la famille d</w:t>
      </w:r>
      <w:r w:rsidR="004618D5" w:rsidRPr="004618D5">
        <w:rPr>
          <w:lang w:val="fr-FR" w:eastAsia="en-GB"/>
        </w:rPr>
        <w:t>’</w:t>
      </w:r>
      <w:r w:rsidRPr="004618D5">
        <w:rPr>
          <w:lang w:val="fr-FR" w:eastAsia="en-GB"/>
        </w:rPr>
        <w:t xml:space="preserve">un citoyen de </w:t>
      </w:r>
      <w:r w:rsidR="00455767" w:rsidRPr="004618D5">
        <w:rPr>
          <w:lang w:val="fr-FR"/>
        </w:rPr>
        <w:t>l</w:t>
      </w:r>
      <w:r w:rsidR="004618D5" w:rsidRPr="004618D5">
        <w:rPr>
          <w:lang w:val="fr-FR"/>
        </w:rPr>
        <w:t>’</w:t>
      </w:r>
      <w:r w:rsidR="00455767" w:rsidRPr="004618D5">
        <w:rPr>
          <w:lang w:val="fr-FR"/>
        </w:rPr>
        <w:t>[UE]</w:t>
      </w:r>
      <w:r w:rsidR="003C111B" w:rsidRPr="004618D5">
        <w:rPr>
          <w:lang w:val="fr-FR" w:eastAsia="en-GB"/>
        </w:rPr>
        <w:t> </w:t>
      </w:r>
      <w:r w:rsidRPr="004618D5">
        <w:rPr>
          <w:lang w:val="fr-FR" w:eastAsia="en-GB"/>
        </w:rPr>
        <w:t>» au plus tard dans les six mois suivant le dépôt de la demande. Une attestation du dépôt de la demande de carte de séjour est délivrée immédiatement.</w:t>
      </w:r>
    </w:p>
    <w:p w:rsidR="00B664A0" w:rsidRPr="004618D5" w:rsidRDefault="00B664A0" w:rsidP="004618D5">
      <w:pPr>
        <w:pStyle w:val="ECHRParaQuote"/>
        <w:rPr>
          <w:lang w:val="fr-FR" w:eastAsia="en-GB"/>
        </w:rPr>
      </w:pPr>
      <w:r w:rsidRPr="004618D5">
        <w:rPr>
          <w:lang w:val="fr-FR" w:eastAsia="en-GB"/>
        </w:rPr>
        <w:t>2.</w:t>
      </w:r>
      <w:r w:rsidR="00455767" w:rsidRPr="004618D5">
        <w:rPr>
          <w:lang w:val="fr-FR" w:eastAsia="en-GB"/>
        </w:rPr>
        <w:t>  </w:t>
      </w:r>
      <w:r w:rsidRPr="004618D5">
        <w:rPr>
          <w:lang w:val="fr-FR" w:eastAsia="en-GB"/>
        </w:rPr>
        <w:t>Pour la délivrance de la carte de séjour, les États membres demandent la présentation des documents suivants</w:t>
      </w:r>
      <w:r w:rsidR="00455767" w:rsidRPr="004618D5">
        <w:rPr>
          <w:lang w:val="fr-FR" w:eastAsia="en-GB"/>
        </w:rPr>
        <w:t> </w:t>
      </w:r>
      <w:r w:rsidRPr="004618D5">
        <w:rPr>
          <w:lang w:val="fr-FR" w:eastAsia="en-GB"/>
        </w:rPr>
        <w:t>:</w:t>
      </w:r>
    </w:p>
    <w:p w:rsidR="00B664A0" w:rsidRPr="004618D5" w:rsidRDefault="00B664A0" w:rsidP="004618D5">
      <w:pPr>
        <w:pStyle w:val="ECHRParaQuote"/>
        <w:rPr>
          <w:lang w:val="fr-FR" w:eastAsia="en-GB"/>
        </w:rPr>
      </w:pPr>
      <w:r w:rsidRPr="004618D5">
        <w:rPr>
          <w:lang w:val="fr-FR" w:eastAsia="en-GB"/>
        </w:rPr>
        <w:t>(</w:t>
      </w:r>
      <w:r w:rsidR="00B55B33" w:rsidRPr="004618D5">
        <w:rPr>
          <w:lang w:val="fr-FR" w:eastAsia="en-GB"/>
        </w:rPr>
        <w:t>...</w:t>
      </w:r>
      <w:r w:rsidRPr="004618D5">
        <w:rPr>
          <w:lang w:val="fr-FR" w:eastAsia="en-GB"/>
        </w:rPr>
        <w:t>)</w:t>
      </w:r>
    </w:p>
    <w:p w:rsidR="00B664A0" w:rsidRPr="004618D5" w:rsidRDefault="00B664A0" w:rsidP="004618D5">
      <w:pPr>
        <w:pStyle w:val="ECHRParaQuote"/>
        <w:rPr>
          <w:lang w:val="fr-FR" w:eastAsia="en-GB"/>
        </w:rPr>
      </w:pPr>
      <w:r w:rsidRPr="004618D5">
        <w:rPr>
          <w:lang w:val="fr-FR" w:eastAsia="en-GB"/>
        </w:rPr>
        <w:t>f)</w:t>
      </w:r>
      <w:r w:rsidR="00455767" w:rsidRPr="004618D5">
        <w:rPr>
          <w:lang w:val="fr-FR" w:eastAsia="en-GB"/>
        </w:rPr>
        <w:t>  </w:t>
      </w:r>
      <w:r w:rsidRPr="004618D5">
        <w:rPr>
          <w:lang w:val="fr-FR" w:eastAsia="en-GB"/>
        </w:rPr>
        <w:t>dans les cas relevant de l</w:t>
      </w:r>
      <w:r w:rsidR="004618D5" w:rsidRPr="004618D5">
        <w:rPr>
          <w:lang w:val="fr-FR" w:eastAsia="en-GB"/>
        </w:rPr>
        <w:t>’</w:t>
      </w:r>
      <w:r w:rsidRPr="004618D5">
        <w:rPr>
          <w:lang w:val="fr-FR" w:eastAsia="en-GB"/>
        </w:rPr>
        <w:t>article 3, paragraphe 2, point b), une preuve de l</w:t>
      </w:r>
      <w:r w:rsidR="004618D5" w:rsidRPr="004618D5">
        <w:rPr>
          <w:lang w:val="fr-FR" w:eastAsia="en-GB"/>
        </w:rPr>
        <w:t>’</w:t>
      </w:r>
      <w:r w:rsidRPr="004618D5">
        <w:rPr>
          <w:lang w:val="fr-FR" w:eastAsia="en-GB"/>
        </w:rPr>
        <w:t>existence d</w:t>
      </w:r>
      <w:r w:rsidR="004618D5" w:rsidRPr="004618D5">
        <w:rPr>
          <w:lang w:val="fr-FR" w:eastAsia="en-GB"/>
        </w:rPr>
        <w:t>’</w:t>
      </w:r>
      <w:r w:rsidRPr="004618D5">
        <w:rPr>
          <w:lang w:val="fr-FR" w:eastAsia="en-GB"/>
        </w:rPr>
        <w:t>une relation durable avec le citoyen de l</w:t>
      </w:r>
      <w:r w:rsidR="004618D5" w:rsidRPr="004618D5">
        <w:rPr>
          <w:lang w:val="fr-FR" w:eastAsia="en-GB"/>
        </w:rPr>
        <w:t>’</w:t>
      </w:r>
      <w:r w:rsidR="00455767" w:rsidRPr="004618D5">
        <w:rPr>
          <w:lang w:val="fr-FR" w:eastAsia="en-GB"/>
        </w:rPr>
        <w:t>[UE]</w:t>
      </w:r>
      <w:r w:rsidR="00A21EED" w:rsidRPr="004618D5">
        <w:rPr>
          <w:lang w:val="fr-FR" w:eastAsia="en-GB"/>
        </w:rPr>
        <w:t>.</w:t>
      </w:r>
      <w:r w:rsidRPr="004618D5">
        <w:rPr>
          <w:lang w:val="fr-FR" w:eastAsia="en-GB"/>
        </w:rPr>
        <w:t> »</w:t>
      </w:r>
    </w:p>
    <w:p w:rsidR="00464C00" w:rsidRPr="004618D5" w:rsidRDefault="00464C00" w:rsidP="004618D5">
      <w:pPr>
        <w:pStyle w:val="ECHRPara"/>
        <w:rPr>
          <w:lang w:val="fr-FR" w:eastAsia="en-GB"/>
        </w:rPr>
      </w:pPr>
      <w:r w:rsidRPr="004618D5">
        <w:rPr>
          <w:lang w:val="fr-FR" w:eastAsia="en-GB"/>
        </w:rPr>
        <w:fldChar w:fldCharType="begin"/>
      </w:r>
      <w:r w:rsidRPr="004618D5">
        <w:rPr>
          <w:lang w:val="fr-FR" w:eastAsia="en-GB"/>
        </w:rPr>
        <w:instrText xml:space="preserve"> SEQ level0 \*arabic </w:instrText>
      </w:r>
      <w:r w:rsidRPr="004618D5">
        <w:rPr>
          <w:lang w:val="fr-FR" w:eastAsia="en-GB"/>
        </w:rPr>
        <w:fldChar w:fldCharType="separate"/>
      </w:r>
      <w:r w:rsidR="004618D5" w:rsidRPr="004618D5">
        <w:rPr>
          <w:noProof/>
          <w:lang w:val="fr-FR" w:eastAsia="en-GB"/>
        </w:rPr>
        <w:t>30</w:t>
      </w:r>
      <w:r w:rsidRPr="004618D5">
        <w:rPr>
          <w:lang w:val="fr-FR" w:eastAsia="en-GB"/>
        </w:rPr>
        <w:fldChar w:fldCharType="end"/>
      </w:r>
      <w:r w:rsidRPr="004618D5">
        <w:rPr>
          <w:lang w:val="fr-FR" w:eastAsia="en-GB"/>
        </w:rPr>
        <w:t>.  L</w:t>
      </w:r>
      <w:r w:rsidRPr="004618D5">
        <w:rPr>
          <w:lang w:val="fr-FR"/>
        </w:rPr>
        <w:t>e décret législatif n</w:t>
      </w:r>
      <w:r w:rsidR="00B55B33" w:rsidRPr="004618D5">
        <w:rPr>
          <w:vertAlign w:val="superscript"/>
          <w:lang w:val="fr-FR"/>
        </w:rPr>
        <w:t>o</w:t>
      </w:r>
      <w:r w:rsidRPr="004618D5">
        <w:rPr>
          <w:lang w:val="fr-FR"/>
        </w:rPr>
        <w:t xml:space="preserve"> 30 du 6 février 2007 et la loi n</w:t>
      </w:r>
      <w:r w:rsidR="00B55B33" w:rsidRPr="004618D5">
        <w:rPr>
          <w:vertAlign w:val="superscript"/>
          <w:lang w:val="fr-FR"/>
        </w:rPr>
        <w:t>o</w:t>
      </w:r>
      <w:r w:rsidRPr="004618D5">
        <w:rPr>
          <w:lang w:val="fr-FR"/>
        </w:rPr>
        <w:t xml:space="preserve"> 97 du 6</w:t>
      </w:r>
      <w:r w:rsidR="006A002F" w:rsidRPr="004618D5">
        <w:rPr>
          <w:lang w:val="fr-FR"/>
        </w:rPr>
        <w:t> </w:t>
      </w:r>
      <w:r w:rsidRPr="004618D5">
        <w:rPr>
          <w:lang w:val="fr-FR"/>
        </w:rPr>
        <w:t>août</w:t>
      </w:r>
      <w:r w:rsidR="004618D5" w:rsidRPr="004618D5">
        <w:rPr>
          <w:lang w:val="fr-FR"/>
        </w:rPr>
        <w:t xml:space="preserve"> </w:t>
      </w:r>
      <w:r w:rsidRPr="004618D5">
        <w:rPr>
          <w:lang w:val="fr-FR"/>
        </w:rPr>
        <w:t xml:space="preserve">2013 ont transposé en droit italien les dispositions de la </w:t>
      </w:r>
      <w:r w:rsidRPr="004618D5">
        <w:rPr>
          <w:lang w:val="fr-FR" w:eastAsia="en-GB"/>
        </w:rPr>
        <w:t>directive n</w:t>
      </w:r>
      <w:r w:rsidR="00B55B33" w:rsidRPr="004618D5">
        <w:rPr>
          <w:vertAlign w:val="superscript"/>
          <w:lang w:val="fr-FR" w:eastAsia="en-GB"/>
        </w:rPr>
        <w:t>o</w:t>
      </w:r>
      <w:r w:rsidRPr="004618D5">
        <w:rPr>
          <w:lang w:val="fr-FR" w:eastAsia="en-GB"/>
        </w:rPr>
        <w:t> </w:t>
      </w:r>
      <w:r w:rsidR="000F6015" w:rsidRPr="004618D5">
        <w:rPr>
          <w:lang w:val="fr-FR"/>
        </w:rPr>
        <w:t>2004/38/CE.</w:t>
      </w:r>
    </w:p>
    <w:p w:rsidR="000F5E47" w:rsidRPr="004618D5" w:rsidRDefault="000F5E47" w:rsidP="004618D5">
      <w:pPr>
        <w:pStyle w:val="ECHRHeading2"/>
        <w:rPr>
          <w:lang w:val="fr-FR"/>
        </w:rPr>
      </w:pPr>
      <w:r w:rsidRPr="004618D5">
        <w:rPr>
          <w:lang w:val="fr-FR"/>
        </w:rPr>
        <w:t xml:space="preserve">B.  La </w:t>
      </w:r>
      <w:r w:rsidR="00EE09BC" w:rsidRPr="004618D5">
        <w:rPr>
          <w:lang w:val="fr-FR"/>
        </w:rPr>
        <w:t>r</w:t>
      </w:r>
      <w:r w:rsidRPr="004618D5">
        <w:rPr>
          <w:lang w:val="fr-FR"/>
        </w:rPr>
        <w:t>ésolution du Parlement européen du 2 avril 2009</w:t>
      </w:r>
    </w:p>
    <w:p w:rsidR="00B664A0" w:rsidRPr="004618D5" w:rsidRDefault="00F1141D" w:rsidP="004618D5">
      <w:pPr>
        <w:pStyle w:val="ECHRPara"/>
        <w:rPr>
          <w:rFonts w:cs="EUAlbertina"/>
          <w:color w:val="000000"/>
          <w:szCs w:val="24"/>
          <w:lang w:val="fr-FR"/>
        </w:rPr>
      </w:pPr>
      <w:r w:rsidRPr="004618D5">
        <w:rPr>
          <w:szCs w:val="24"/>
          <w:lang w:val="fr-FR"/>
        </w:rPr>
        <w:fldChar w:fldCharType="begin"/>
      </w:r>
      <w:r w:rsidRPr="004618D5">
        <w:rPr>
          <w:szCs w:val="24"/>
          <w:lang w:val="fr-FR"/>
        </w:rPr>
        <w:instrText xml:space="preserve"> SEQ level0 \*arabic </w:instrText>
      </w:r>
      <w:r w:rsidRPr="004618D5">
        <w:rPr>
          <w:szCs w:val="24"/>
          <w:lang w:val="fr-FR"/>
        </w:rPr>
        <w:fldChar w:fldCharType="separate"/>
      </w:r>
      <w:r w:rsidR="004618D5" w:rsidRPr="004618D5">
        <w:rPr>
          <w:noProof/>
          <w:szCs w:val="24"/>
          <w:lang w:val="fr-FR"/>
        </w:rPr>
        <w:t>31</w:t>
      </w:r>
      <w:r w:rsidRPr="004618D5">
        <w:rPr>
          <w:szCs w:val="24"/>
          <w:lang w:val="fr-FR"/>
        </w:rPr>
        <w:fldChar w:fldCharType="end"/>
      </w:r>
      <w:r w:rsidRPr="004618D5">
        <w:rPr>
          <w:szCs w:val="24"/>
          <w:lang w:val="fr-FR"/>
        </w:rPr>
        <w:t>.  </w:t>
      </w:r>
      <w:r w:rsidR="00B664A0" w:rsidRPr="004618D5">
        <w:rPr>
          <w:szCs w:val="24"/>
          <w:lang w:val="fr-FR"/>
        </w:rPr>
        <w:t xml:space="preserve">Le 2 avril 2009, le Parlement européen </w:t>
      </w:r>
      <w:r w:rsidR="00455767" w:rsidRPr="004618D5">
        <w:rPr>
          <w:szCs w:val="24"/>
          <w:lang w:val="fr-FR"/>
        </w:rPr>
        <w:t xml:space="preserve">a </w:t>
      </w:r>
      <w:r w:rsidR="00B664A0" w:rsidRPr="004618D5">
        <w:rPr>
          <w:szCs w:val="24"/>
          <w:lang w:val="fr-FR"/>
        </w:rPr>
        <w:t>adopt</w:t>
      </w:r>
      <w:r w:rsidR="00455767" w:rsidRPr="004618D5">
        <w:rPr>
          <w:szCs w:val="24"/>
          <w:lang w:val="fr-FR"/>
        </w:rPr>
        <w:t>é</w:t>
      </w:r>
      <w:r w:rsidR="00B664A0" w:rsidRPr="004618D5">
        <w:rPr>
          <w:szCs w:val="24"/>
          <w:lang w:val="fr-FR"/>
        </w:rPr>
        <w:t xml:space="preserve"> une </w:t>
      </w:r>
      <w:r w:rsidR="00EE09BC" w:rsidRPr="004618D5">
        <w:rPr>
          <w:szCs w:val="24"/>
          <w:lang w:val="fr-FR"/>
        </w:rPr>
        <w:t>r</w:t>
      </w:r>
      <w:r w:rsidR="00B664A0" w:rsidRPr="004618D5">
        <w:rPr>
          <w:szCs w:val="24"/>
          <w:lang w:val="fr-FR"/>
        </w:rPr>
        <w:t>ésolution concernant l</w:t>
      </w:r>
      <w:r w:rsidR="004618D5" w:rsidRPr="004618D5">
        <w:rPr>
          <w:szCs w:val="24"/>
          <w:lang w:val="fr-FR"/>
        </w:rPr>
        <w:t>’</w:t>
      </w:r>
      <w:r w:rsidR="00B664A0" w:rsidRPr="004618D5">
        <w:rPr>
          <w:szCs w:val="24"/>
          <w:lang w:val="fr-FR"/>
        </w:rPr>
        <w:t xml:space="preserve">application de la directive 2004/38/CE. </w:t>
      </w:r>
      <w:r w:rsidR="00455767" w:rsidRPr="004618D5">
        <w:rPr>
          <w:szCs w:val="24"/>
          <w:lang w:val="fr-FR"/>
        </w:rPr>
        <w:t>Ce</w:t>
      </w:r>
      <w:r w:rsidR="008C07D5" w:rsidRPr="004618D5">
        <w:rPr>
          <w:szCs w:val="24"/>
          <w:lang w:val="fr-FR"/>
        </w:rPr>
        <w:t>tte résolution</w:t>
      </w:r>
      <w:r w:rsidR="00455767" w:rsidRPr="004618D5">
        <w:rPr>
          <w:szCs w:val="24"/>
          <w:lang w:val="fr-FR"/>
        </w:rPr>
        <w:t xml:space="preserve"> énonçait</w:t>
      </w:r>
      <w:r w:rsidR="00B664A0" w:rsidRPr="004618D5">
        <w:rPr>
          <w:szCs w:val="24"/>
          <w:lang w:val="fr-FR"/>
        </w:rPr>
        <w:t>, entre autre</w:t>
      </w:r>
      <w:r w:rsidR="00EE09BC" w:rsidRPr="004618D5">
        <w:rPr>
          <w:szCs w:val="24"/>
          <w:lang w:val="fr-FR"/>
        </w:rPr>
        <w:t>s</w:t>
      </w:r>
      <w:r w:rsidR="00B664A0" w:rsidRPr="004618D5">
        <w:rPr>
          <w:szCs w:val="24"/>
          <w:lang w:val="fr-FR"/>
        </w:rPr>
        <w:t xml:space="preserve">, que </w:t>
      </w:r>
      <w:r w:rsidR="00B664A0" w:rsidRPr="004618D5">
        <w:rPr>
          <w:rFonts w:cs="EUAlbertina"/>
          <w:color w:val="000000"/>
          <w:szCs w:val="24"/>
          <w:lang w:val="fr-FR"/>
        </w:rPr>
        <w:t xml:space="preserve">les arrêts rendus par la Cour de </w:t>
      </w:r>
      <w:r w:rsidR="006810C0" w:rsidRPr="004618D5">
        <w:rPr>
          <w:rFonts w:cs="EUAlbertina"/>
          <w:color w:val="000000"/>
          <w:szCs w:val="24"/>
          <w:lang w:val="fr-FR"/>
        </w:rPr>
        <w:t>j</w:t>
      </w:r>
      <w:r w:rsidR="00B664A0" w:rsidRPr="004618D5">
        <w:rPr>
          <w:rFonts w:cs="EUAlbertina"/>
          <w:color w:val="000000"/>
          <w:szCs w:val="24"/>
          <w:lang w:val="fr-FR"/>
        </w:rPr>
        <w:t>ustice</w:t>
      </w:r>
      <w:r w:rsidR="00A21EED" w:rsidRPr="004618D5">
        <w:rPr>
          <w:rFonts w:cs="EUAlbertina"/>
          <w:color w:val="000000"/>
          <w:szCs w:val="24"/>
          <w:lang w:val="fr-FR"/>
        </w:rPr>
        <w:t xml:space="preserve"> de l</w:t>
      </w:r>
      <w:r w:rsidR="004618D5" w:rsidRPr="004618D5">
        <w:rPr>
          <w:rFonts w:cs="EUAlbertina"/>
          <w:color w:val="000000"/>
          <w:szCs w:val="24"/>
          <w:lang w:val="fr-FR"/>
        </w:rPr>
        <w:t>’</w:t>
      </w:r>
      <w:r w:rsidR="00A21EED" w:rsidRPr="004618D5">
        <w:rPr>
          <w:rFonts w:cs="EUAlbertina"/>
          <w:color w:val="000000"/>
          <w:szCs w:val="24"/>
          <w:lang w:val="fr-FR"/>
        </w:rPr>
        <w:t>UE (</w:t>
      </w:r>
      <w:r w:rsidR="006810C0" w:rsidRPr="004618D5">
        <w:rPr>
          <w:rFonts w:cs="EUAlbertina"/>
          <w:color w:val="000000"/>
          <w:szCs w:val="24"/>
          <w:lang w:val="fr-FR"/>
        </w:rPr>
        <w:t>« </w:t>
      </w:r>
      <w:r w:rsidR="00A21EED" w:rsidRPr="004618D5">
        <w:rPr>
          <w:rFonts w:cs="EUAlbertina"/>
          <w:color w:val="000000"/>
          <w:szCs w:val="24"/>
          <w:lang w:val="fr-FR"/>
        </w:rPr>
        <w:t>la CJUE »)</w:t>
      </w:r>
      <w:r w:rsidR="00B664A0" w:rsidRPr="004618D5">
        <w:rPr>
          <w:rFonts w:cs="EUAlbertina"/>
          <w:color w:val="000000"/>
          <w:szCs w:val="24"/>
          <w:lang w:val="fr-FR"/>
        </w:rPr>
        <w:t xml:space="preserve"> sur la question de la libre circulation, notamment dans les </w:t>
      </w:r>
      <w:r w:rsidR="00B664A0" w:rsidRPr="004618D5">
        <w:rPr>
          <w:rFonts w:cs="EUAlbertina"/>
          <w:color w:val="000000"/>
          <w:szCs w:val="24"/>
          <w:lang w:val="fr-FR"/>
        </w:rPr>
        <w:lastRenderedPageBreak/>
        <w:t xml:space="preserve">affaires </w:t>
      </w:r>
      <w:r w:rsidR="00B664A0" w:rsidRPr="004618D5">
        <w:rPr>
          <w:rFonts w:cs="EUAlbertina"/>
          <w:i/>
          <w:color w:val="000000"/>
          <w:szCs w:val="24"/>
          <w:lang w:val="fr-FR"/>
        </w:rPr>
        <w:t>Metock</w:t>
      </w:r>
      <w:r w:rsidR="00B664A0" w:rsidRPr="004618D5">
        <w:rPr>
          <w:rFonts w:cs="EUAlbertina"/>
          <w:color w:val="000000"/>
          <w:szCs w:val="24"/>
          <w:lang w:val="fr-FR"/>
        </w:rPr>
        <w:t xml:space="preserve">, </w:t>
      </w:r>
      <w:r w:rsidR="00B664A0" w:rsidRPr="004618D5">
        <w:rPr>
          <w:rFonts w:cs="EUAlbertina"/>
          <w:i/>
          <w:color w:val="000000"/>
          <w:szCs w:val="24"/>
          <w:lang w:val="fr-FR"/>
        </w:rPr>
        <w:t>Jipa</w:t>
      </w:r>
      <w:r w:rsidR="00B664A0" w:rsidRPr="004618D5">
        <w:rPr>
          <w:rFonts w:cs="EUAlbertina"/>
          <w:color w:val="000000"/>
          <w:szCs w:val="24"/>
          <w:lang w:val="fr-FR"/>
        </w:rPr>
        <w:t xml:space="preserve"> et </w:t>
      </w:r>
      <w:r w:rsidR="00B664A0" w:rsidRPr="004618D5">
        <w:rPr>
          <w:rFonts w:cs="EUAlbertina"/>
          <w:i/>
          <w:color w:val="000000"/>
          <w:szCs w:val="24"/>
          <w:lang w:val="fr-FR"/>
        </w:rPr>
        <w:t>Huber</w:t>
      </w:r>
      <w:r w:rsidR="00B664A0" w:rsidRPr="004618D5">
        <w:rPr>
          <w:rFonts w:cs="EUAlbertina"/>
          <w:color w:val="000000"/>
          <w:szCs w:val="24"/>
          <w:lang w:val="fr-FR"/>
        </w:rPr>
        <w:t>, avaient confirmé le principe selon lequel « le ressortissant d</w:t>
      </w:r>
      <w:r w:rsidR="004618D5" w:rsidRPr="004618D5">
        <w:rPr>
          <w:rFonts w:cs="EUAlbertina"/>
          <w:color w:val="000000"/>
          <w:szCs w:val="24"/>
          <w:lang w:val="fr-FR"/>
        </w:rPr>
        <w:t>’</w:t>
      </w:r>
      <w:r w:rsidR="00B664A0" w:rsidRPr="004618D5">
        <w:rPr>
          <w:rFonts w:cs="EUAlbertina"/>
          <w:color w:val="000000"/>
          <w:szCs w:val="24"/>
          <w:lang w:val="fr-FR"/>
        </w:rPr>
        <w:t>un pays tiers, conjoint d</w:t>
      </w:r>
      <w:r w:rsidR="004618D5" w:rsidRPr="004618D5">
        <w:rPr>
          <w:rFonts w:cs="EUAlbertina"/>
          <w:color w:val="000000"/>
          <w:szCs w:val="24"/>
          <w:lang w:val="fr-FR"/>
        </w:rPr>
        <w:t>’</w:t>
      </w:r>
      <w:r w:rsidR="00B664A0" w:rsidRPr="004618D5">
        <w:rPr>
          <w:rFonts w:cs="EUAlbertina"/>
          <w:color w:val="000000"/>
          <w:szCs w:val="24"/>
          <w:lang w:val="fr-FR"/>
        </w:rPr>
        <w:t>un citoyen de l</w:t>
      </w:r>
      <w:r w:rsidR="004618D5" w:rsidRPr="004618D5">
        <w:rPr>
          <w:rFonts w:cs="EUAlbertina"/>
          <w:color w:val="000000"/>
          <w:szCs w:val="24"/>
          <w:lang w:val="fr-FR"/>
        </w:rPr>
        <w:t>’</w:t>
      </w:r>
      <w:r w:rsidR="00455767" w:rsidRPr="004618D5">
        <w:rPr>
          <w:rFonts w:cs="EUAlbertina"/>
          <w:color w:val="000000"/>
          <w:szCs w:val="24"/>
          <w:lang w:val="fr-FR"/>
        </w:rPr>
        <w:t>[UE]</w:t>
      </w:r>
      <w:r w:rsidR="00B664A0" w:rsidRPr="004618D5">
        <w:rPr>
          <w:rFonts w:cs="EUAlbertina"/>
          <w:color w:val="000000"/>
          <w:szCs w:val="24"/>
          <w:lang w:val="fr-FR"/>
        </w:rPr>
        <w:t>, qui accompagne ou rejoint ce citoyen peut bénéficier des dispositions de la directive, quels que soient le lieu et la date de leur mariage et sans obligation de séjour légal préalable ».</w:t>
      </w:r>
    </w:p>
    <w:p w:rsidR="00B664A0" w:rsidRPr="004618D5" w:rsidRDefault="000F5E47" w:rsidP="004618D5">
      <w:pPr>
        <w:pStyle w:val="ECHRPara"/>
        <w:rPr>
          <w:szCs w:val="24"/>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32</w:t>
      </w:r>
      <w:r w:rsidRPr="004618D5">
        <w:rPr>
          <w:lang w:val="fr-FR"/>
        </w:rPr>
        <w:fldChar w:fldCharType="end"/>
      </w:r>
      <w:r w:rsidRPr="004618D5">
        <w:rPr>
          <w:lang w:val="fr-FR"/>
        </w:rPr>
        <w:t>.  </w:t>
      </w:r>
      <w:r w:rsidR="00B664A0" w:rsidRPr="004618D5">
        <w:rPr>
          <w:lang w:val="fr-FR"/>
        </w:rPr>
        <w:t xml:space="preserve">Par </w:t>
      </w:r>
      <w:r w:rsidR="00B664A0" w:rsidRPr="004618D5">
        <w:rPr>
          <w:szCs w:val="24"/>
          <w:lang w:val="fr-FR"/>
        </w:rPr>
        <w:t xml:space="preserve">ailleurs, considérant </w:t>
      </w:r>
      <w:r w:rsidR="00EE09BC" w:rsidRPr="004618D5">
        <w:rPr>
          <w:szCs w:val="24"/>
          <w:lang w:val="fr-FR"/>
        </w:rPr>
        <w:t xml:space="preserve">comme </w:t>
      </w:r>
      <w:r w:rsidR="00B664A0" w:rsidRPr="004618D5">
        <w:rPr>
          <w:szCs w:val="24"/>
          <w:lang w:val="fr-FR"/>
        </w:rPr>
        <w:t>problématique « l</w:t>
      </w:r>
      <w:r w:rsidR="004618D5" w:rsidRPr="004618D5">
        <w:rPr>
          <w:szCs w:val="24"/>
          <w:lang w:val="fr-FR"/>
        </w:rPr>
        <w:t>’</w:t>
      </w:r>
      <w:r w:rsidR="00B664A0" w:rsidRPr="004618D5">
        <w:rPr>
          <w:szCs w:val="24"/>
          <w:lang w:val="fr-FR"/>
        </w:rPr>
        <w:t xml:space="preserve">interprétation restrictive par les États membres de la </w:t>
      </w:r>
      <w:r w:rsidR="00B664A0" w:rsidRPr="004618D5">
        <w:rPr>
          <w:szCs w:val="24"/>
          <w:lang w:val="fr-FR" w:eastAsia="en-GB"/>
        </w:rPr>
        <w:t>notion</w:t>
      </w:r>
      <w:r w:rsidR="00B664A0" w:rsidRPr="004618D5">
        <w:rPr>
          <w:szCs w:val="24"/>
          <w:lang w:val="fr-FR"/>
        </w:rPr>
        <w:t xml:space="preserve"> de « membre de la famille » (article 2), de « tout autre membre de la famille </w:t>
      </w:r>
      <w:r w:rsidR="004618D5" w:rsidRPr="004618D5">
        <w:rPr>
          <w:szCs w:val="24"/>
          <w:lang w:val="fr-FR"/>
        </w:rPr>
        <w:t>» et de « partenaire » (article </w:t>
      </w:r>
      <w:r w:rsidR="00B664A0" w:rsidRPr="004618D5">
        <w:rPr>
          <w:szCs w:val="24"/>
          <w:lang w:val="fr-FR"/>
        </w:rPr>
        <w:t>3), notamment par rapport aux partenaires d</w:t>
      </w:r>
      <w:r w:rsidR="002A0F29" w:rsidRPr="004618D5">
        <w:rPr>
          <w:szCs w:val="24"/>
          <w:lang w:val="fr-FR"/>
        </w:rPr>
        <w:t>e</w:t>
      </w:r>
      <w:r w:rsidR="00B664A0" w:rsidRPr="004618D5">
        <w:rPr>
          <w:szCs w:val="24"/>
          <w:lang w:val="fr-FR"/>
        </w:rPr>
        <w:t xml:space="preserve"> même sexe, et </w:t>
      </w:r>
      <w:r w:rsidR="00EE09BC" w:rsidRPr="004618D5">
        <w:rPr>
          <w:szCs w:val="24"/>
          <w:lang w:val="fr-FR"/>
        </w:rPr>
        <w:t xml:space="preserve">de </w:t>
      </w:r>
      <w:r w:rsidR="00B664A0" w:rsidRPr="004618D5">
        <w:rPr>
          <w:szCs w:val="24"/>
          <w:lang w:val="fr-FR"/>
        </w:rPr>
        <w:t>leur droit à la libre circulation conformément à la directive 2004/38/CE », le Parlement engagea</w:t>
      </w:r>
      <w:r w:rsidR="008C07D5" w:rsidRPr="004618D5">
        <w:rPr>
          <w:szCs w:val="24"/>
          <w:lang w:val="fr-FR"/>
        </w:rPr>
        <w:t>it</w:t>
      </w:r>
      <w:r w:rsidR="00B664A0" w:rsidRPr="004618D5">
        <w:rPr>
          <w:szCs w:val="24"/>
          <w:lang w:val="fr-FR"/>
        </w:rPr>
        <w:t xml:space="preserve"> </w:t>
      </w:r>
      <w:r w:rsidR="00EE09BC" w:rsidRPr="004618D5">
        <w:rPr>
          <w:szCs w:val="24"/>
          <w:lang w:val="fr-FR"/>
        </w:rPr>
        <w:t>les États membres :</w:t>
      </w:r>
    </w:p>
    <w:p w:rsidR="00B664A0" w:rsidRPr="004618D5" w:rsidRDefault="00B664A0" w:rsidP="004618D5">
      <w:pPr>
        <w:pStyle w:val="ECHRParaQuote"/>
        <w:rPr>
          <w:lang w:val="fr-FR"/>
        </w:rPr>
      </w:pPr>
      <w:r w:rsidRPr="004618D5">
        <w:rPr>
          <w:lang w:val="fr-FR"/>
        </w:rPr>
        <w:t>« à mettre pleinement en œuvre les droits octroyés au titre des articles 2 et 3 de la directive 2004/38/CE, non seulement pour les conjoints de sexe opposé, mais également pour le partenaire enregistré, membre du ménage ou partenaire, y compris dans les couples de même sexe reconnus par un État membre, indépendamment de leur nationalité et sans préjudice de leur non-reconnaissance par le droit civil d</w:t>
      </w:r>
      <w:r w:rsidR="004618D5" w:rsidRPr="004618D5">
        <w:rPr>
          <w:lang w:val="fr-FR"/>
        </w:rPr>
        <w:t>’</w:t>
      </w:r>
      <w:r w:rsidRPr="004618D5">
        <w:rPr>
          <w:lang w:val="fr-FR"/>
        </w:rPr>
        <w:t>un autre État membre, sur la base des principes de reconnaissance mutuelle, d</w:t>
      </w:r>
      <w:r w:rsidR="004618D5" w:rsidRPr="004618D5">
        <w:rPr>
          <w:lang w:val="fr-FR"/>
        </w:rPr>
        <w:t>’</w:t>
      </w:r>
      <w:r w:rsidRPr="004618D5">
        <w:rPr>
          <w:lang w:val="fr-FR"/>
        </w:rPr>
        <w:t>égalité et de non-discrimination, et dans le respect de la dignité et de la vie privée et familiale</w:t>
      </w:r>
      <w:r w:rsidR="00A21EED" w:rsidRPr="004618D5">
        <w:rPr>
          <w:lang w:val="fr-FR"/>
        </w:rPr>
        <w:t> </w:t>
      </w:r>
      <w:r w:rsidRPr="004618D5">
        <w:rPr>
          <w:lang w:val="fr-FR"/>
        </w:rPr>
        <w:t xml:space="preserve">; </w:t>
      </w:r>
      <w:r w:rsidR="008C07D5" w:rsidRPr="004618D5">
        <w:rPr>
          <w:lang w:val="fr-FR"/>
        </w:rPr>
        <w:t>(</w:t>
      </w:r>
      <w:r w:rsidR="00B55B33" w:rsidRPr="004618D5">
        <w:rPr>
          <w:lang w:val="fr-FR"/>
        </w:rPr>
        <w:t>...</w:t>
      </w:r>
      <w:r w:rsidR="008C07D5" w:rsidRPr="004618D5">
        <w:rPr>
          <w:lang w:val="fr-FR"/>
        </w:rPr>
        <w:t>)</w:t>
      </w:r>
      <w:r w:rsidRPr="004618D5">
        <w:rPr>
          <w:lang w:val="fr-FR"/>
        </w:rPr>
        <w:t xml:space="preserve"> à tenir compte du fait que la directive impose l</w:t>
      </w:r>
      <w:r w:rsidR="004618D5" w:rsidRPr="004618D5">
        <w:rPr>
          <w:lang w:val="fr-FR"/>
        </w:rPr>
        <w:t>’</w:t>
      </w:r>
      <w:r w:rsidRPr="004618D5">
        <w:rPr>
          <w:lang w:val="fr-FR"/>
        </w:rPr>
        <w:t>obligation de reconnaître la liberté de circulation à tous les citoyens de l</w:t>
      </w:r>
      <w:r w:rsidR="004618D5" w:rsidRPr="004618D5">
        <w:rPr>
          <w:lang w:val="fr-FR"/>
        </w:rPr>
        <w:t>’</w:t>
      </w:r>
      <w:r w:rsidR="00455767" w:rsidRPr="004618D5">
        <w:rPr>
          <w:lang w:val="fr-FR"/>
        </w:rPr>
        <w:t>[UE]</w:t>
      </w:r>
      <w:r w:rsidRPr="004618D5">
        <w:rPr>
          <w:lang w:val="fr-FR"/>
        </w:rPr>
        <w:t xml:space="preserve"> (y compris aux partenaires de même sexe) sans imposer la reconnaissance du mariage entre personnes du même sexe</w:t>
      </w:r>
      <w:r w:rsidR="00A21EED" w:rsidRPr="004618D5">
        <w:rPr>
          <w:lang w:val="fr-FR"/>
        </w:rPr>
        <w:t>.</w:t>
      </w:r>
      <w:r w:rsidRPr="004618D5">
        <w:rPr>
          <w:lang w:val="fr-FR"/>
        </w:rPr>
        <w:t> »</w:t>
      </w:r>
    </w:p>
    <w:p w:rsidR="00B664A0" w:rsidRPr="004618D5" w:rsidRDefault="000F5E47" w:rsidP="004618D5">
      <w:pPr>
        <w:pStyle w:val="ECHRHeading2"/>
        <w:rPr>
          <w:lang w:val="fr-FR"/>
        </w:rPr>
      </w:pPr>
      <w:r w:rsidRPr="004618D5">
        <w:rPr>
          <w:lang w:val="fr-FR"/>
        </w:rPr>
        <w:t>C.  </w:t>
      </w:r>
      <w:r w:rsidR="00B664A0" w:rsidRPr="004618D5">
        <w:rPr>
          <w:lang w:val="fr-FR"/>
        </w:rPr>
        <w:t>La Recommandation 1470 (2000)</w:t>
      </w:r>
      <w:r w:rsidR="00B664A0" w:rsidRPr="004618D5">
        <w:rPr>
          <w:vertAlign w:val="superscript"/>
          <w:lang w:val="fr-FR"/>
        </w:rPr>
        <w:t xml:space="preserve"> </w:t>
      </w:r>
      <w:r w:rsidR="00B664A0" w:rsidRPr="004618D5">
        <w:rPr>
          <w:lang w:val="fr-FR"/>
        </w:rPr>
        <w:t>de l</w:t>
      </w:r>
      <w:r w:rsidR="004618D5" w:rsidRPr="004618D5">
        <w:rPr>
          <w:lang w:val="fr-FR"/>
        </w:rPr>
        <w:t>’</w:t>
      </w:r>
      <w:r w:rsidR="00B664A0" w:rsidRPr="004618D5">
        <w:rPr>
          <w:lang w:val="fr-FR"/>
        </w:rPr>
        <w:t>Assemblée parlementaire du Conseil de l</w:t>
      </w:r>
      <w:r w:rsidR="004618D5" w:rsidRPr="004618D5">
        <w:rPr>
          <w:lang w:val="fr-FR"/>
        </w:rPr>
        <w:t>’</w:t>
      </w:r>
      <w:r w:rsidR="00B664A0" w:rsidRPr="004618D5">
        <w:rPr>
          <w:lang w:val="fr-FR"/>
        </w:rPr>
        <w:t>Europe</w:t>
      </w:r>
      <w:r w:rsidR="00A21EED" w:rsidRPr="004618D5">
        <w:rPr>
          <w:lang w:val="fr-FR"/>
        </w:rPr>
        <w:t xml:space="preserve"> (APCE)</w:t>
      </w:r>
    </w:p>
    <w:p w:rsidR="00B664A0" w:rsidRPr="004618D5" w:rsidRDefault="000F5E47" w:rsidP="004618D5">
      <w:pPr>
        <w:pStyle w:val="ECHRPara"/>
        <w:rPr>
          <w:rFonts w:ascii="Verdana" w:hAnsi="Verdana"/>
          <w:sz w:val="17"/>
          <w:szCs w:val="17"/>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33</w:t>
      </w:r>
      <w:r w:rsidRPr="004618D5">
        <w:rPr>
          <w:lang w:val="fr-FR"/>
        </w:rPr>
        <w:fldChar w:fldCharType="end"/>
      </w:r>
      <w:r w:rsidRPr="004618D5">
        <w:rPr>
          <w:lang w:val="fr-FR"/>
        </w:rPr>
        <w:t>.  </w:t>
      </w:r>
      <w:r w:rsidR="00B664A0" w:rsidRPr="004618D5">
        <w:rPr>
          <w:lang w:val="fr-FR"/>
        </w:rPr>
        <w:t xml:space="preserve">La Recommandation 1470 (2000) </w:t>
      </w:r>
      <w:r w:rsidR="006810C0" w:rsidRPr="004618D5">
        <w:rPr>
          <w:lang w:val="fr-FR"/>
        </w:rPr>
        <w:t xml:space="preserve">relative à la </w:t>
      </w:r>
      <w:r w:rsidR="00B664A0" w:rsidRPr="004618D5">
        <w:rPr>
          <w:lang w:val="fr-FR"/>
        </w:rPr>
        <w:t>situation des gays et des lesbiennes et de leurs partenaires en matière d</w:t>
      </w:r>
      <w:r w:rsidR="004618D5" w:rsidRPr="004618D5">
        <w:rPr>
          <w:lang w:val="fr-FR"/>
        </w:rPr>
        <w:t>’</w:t>
      </w:r>
      <w:r w:rsidR="00B664A0" w:rsidRPr="004618D5">
        <w:rPr>
          <w:lang w:val="fr-FR"/>
        </w:rPr>
        <w:t>asile et d</w:t>
      </w:r>
      <w:r w:rsidR="004618D5" w:rsidRPr="004618D5">
        <w:rPr>
          <w:lang w:val="fr-FR"/>
        </w:rPr>
        <w:t>’</w:t>
      </w:r>
      <w:r w:rsidR="00B664A0" w:rsidRPr="004618D5">
        <w:rPr>
          <w:lang w:val="fr-FR"/>
        </w:rPr>
        <w:t xml:space="preserve">immigration dans les </w:t>
      </w:r>
      <w:r w:rsidRPr="004618D5">
        <w:rPr>
          <w:lang w:val="fr-FR"/>
        </w:rPr>
        <w:t>États</w:t>
      </w:r>
      <w:r w:rsidR="00B664A0" w:rsidRPr="004618D5">
        <w:rPr>
          <w:lang w:val="fr-FR"/>
        </w:rPr>
        <w:t xml:space="preserve"> membres du Conseil de l</w:t>
      </w:r>
      <w:r w:rsidR="004618D5" w:rsidRPr="004618D5">
        <w:rPr>
          <w:lang w:val="fr-FR"/>
        </w:rPr>
        <w:t>’</w:t>
      </w:r>
      <w:r w:rsidR="00B664A0" w:rsidRPr="004618D5">
        <w:rPr>
          <w:lang w:val="fr-FR"/>
        </w:rPr>
        <w:t>Europe</w:t>
      </w:r>
      <w:r w:rsidR="00F02598" w:rsidRPr="004618D5">
        <w:rPr>
          <w:lang w:val="fr-FR"/>
        </w:rPr>
        <w:t xml:space="preserve"> se lit ainsi d</w:t>
      </w:r>
      <w:r w:rsidR="00B664A0" w:rsidRPr="004618D5">
        <w:rPr>
          <w:lang w:val="fr-FR"/>
        </w:rPr>
        <w:t>ans ses parties pertinentes</w:t>
      </w:r>
      <w:r w:rsidR="00F02598" w:rsidRPr="004618D5">
        <w:rPr>
          <w:lang w:val="fr-FR"/>
        </w:rPr>
        <w:t xml:space="preserve"> en l</w:t>
      </w:r>
      <w:r w:rsidR="004618D5" w:rsidRPr="004618D5">
        <w:rPr>
          <w:lang w:val="fr-FR"/>
        </w:rPr>
        <w:t>’</w:t>
      </w:r>
      <w:r w:rsidR="00F02598" w:rsidRPr="004618D5">
        <w:rPr>
          <w:lang w:val="fr-FR"/>
        </w:rPr>
        <w:t>espèce</w:t>
      </w:r>
      <w:r w:rsidR="00B664A0" w:rsidRPr="004618D5">
        <w:rPr>
          <w:lang w:val="fr-FR"/>
        </w:rPr>
        <w:t> :</w:t>
      </w:r>
    </w:p>
    <w:p w:rsidR="00B664A0" w:rsidRPr="004618D5" w:rsidRDefault="00B664A0" w:rsidP="004618D5">
      <w:pPr>
        <w:pStyle w:val="ECHRParaQuote"/>
        <w:rPr>
          <w:rFonts w:ascii="Verdana" w:hAnsi="Verdana"/>
          <w:sz w:val="17"/>
          <w:szCs w:val="17"/>
          <w:lang w:val="fr-FR"/>
        </w:rPr>
      </w:pPr>
      <w:r w:rsidRPr="004618D5">
        <w:rPr>
          <w:lang w:val="fr-FR"/>
        </w:rPr>
        <w:t>« 1. </w:t>
      </w:r>
      <w:r w:rsidR="00F02598" w:rsidRPr="004618D5">
        <w:rPr>
          <w:lang w:val="fr-FR"/>
        </w:rPr>
        <w:t> </w:t>
      </w:r>
      <w:r w:rsidRPr="004618D5">
        <w:rPr>
          <w:lang w:val="fr-FR"/>
        </w:rPr>
        <w:t>L</w:t>
      </w:r>
      <w:r w:rsidR="004618D5" w:rsidRPr="004618D5">
        <w:rPr>
          <w:lang w:val="fr-FR"/>
        </w:rPr>
        <w:t>’</w:t>
      </w:r>
      <w:r w:rsidRPr="004618D5">
        <w:rPr>
          <w:lang w:val="fr-FR"/>
        </w:rPr>
        <w:t>Assemblée rappelle et réaffirme les principes de sa</w:t>
      </w:r>
      <w:r w:rsidR="00CD607D" w:rsidRPr="004618D5">
        <w:rPr>
          <w:lang w:val="fr-FR"/>
        </w:rPr>
        <w:t xml:space="preserve"> Recommandation</w:t>
      </w:r>
      <w:r w:rsidR="00467BF1" w:rsidRPr="004618D5">
        <w:rPr>
          <w:lang w:val="fr-FR"/>
        </w:rPr>
        <w:t> </w:t>
      </w:r>
      <w:r w:rsidR="00CD607D" w:rsidRPr="004618D5">
        <w:rPr>
          <w:lang w:val="fr-FR"/>
        </w:rPr>
        <w:t xml:space="preserve">924 </w:t>
      </w:r>
      <w:r w:rsidRPr="004618D5">
        <w:rPr>
          <w:lang w:val="fr-FR"/>
        </w:rPr>
        <w:t>(1981) relative à la discrimination à l</w:t>
      </w:r>
      <w:r w:rsidR="004618D5" w:rsidRPr="004618D5">
        <w:rPr>
          <w:lang w:val="fr-FR"/>
        </w:rPr>
        <w:t>’</w:t>
      </w:r>
      <w:r w:rsidRPr="004618D5">
        <w:rPr>
          <w:lang w:val="fr-FR"/>
        </w:rPr>
        <w:t xml:space="preserve">égard des homosexuels, de sa </w:t>
      </w:r>
      <w:r w:rsidR="00CD607D" w:rsidRPr="004618D5">
        <w:rPr>
          <w:lang w:val="fr-FR"/>
        </w:rPr>
        <w:t>Recommandation</w:t>
      </w:r>
      <w:r w:rsidR="0082147E" w:rsidRPr="004618D5">
        <w:rPr>
          <w:lang w:val="fr-FR"/>
        </w:rPr>
        <w:t> </w:t>
      </w:r>
      <w:r w:rsidR="00CD607D" w:rsidRPr="004618D5">
        <w:rPr>
          <w:lang w:val="fr-FR"/>
        </w:rPr>
        <w:t>1236</w:t>
      </w:r>
      <w:r w:rsidRPr="004618D5">
        <w:rPr>
          <w:lang w:val="fr-FR"/>
        </w:rPr>
        <w:t> (1994) relative au droit d</w:t>
      </w:r>
      <w:r w:rsidR="004618D5" w:rsidRPr="004618D5">
        <w:rPr>
          <w:lang w:val="fr-FR"/>
        </w:rPr>
        <w:t>’</w:t>
      </w:r>
      <w:r w:rsidRPr="004618D5">
        <w:rPr>
          <w:lang w:val="fr-FR"/>
        </w:rPr>
        <w:t xml:space="preserve">asile et de sa </w:t>
      </w:r>
      <w:r w:rsidR="00CD607D" w:rsidRPr="004618D5">
        <w:rPr>
          <w:lang w:val="fr-FR"/>
        </w:rPr>
        <w:t>Recommandation</w:t>
      </w:r>
      <w:r w:rsidR="00D32A84" w:rsidRPr="004618D5">
        <w:rPr>
          <w:lang w:val="fr-FR"/>
        </w:rPr>
        <w:t> </w:t>
      </w:r>
      <w:r w:rsidR="00CD607D" w:rsidRPr="004618D5">
        <w:rPr>
          <w:lang w:val="fr-FR"/>
        </w:rPr>
        <w:t>1327</w:t>
      </w:r>
      <w:r w:rsidRPr="004618D5">
        <w:rPr>
          <w:lang w:val="fr-FR"/>
        </w:rPr>
        <w:t> (1997) relative à la protection et au renforcement des droits de l</w:t>
      </w:r>
      <w:r w:rsidR="004618D5" w:rsidRPr="004618D5">
        <w:rPr>
          <w:lang w:val="fr-FR"/>
        </w:rPr>
        <w:t>’</w:t>
      </w:r>
      <w:r w:rsidRPr="004618D5">
        <w:rPr>
          <w:lang w:val="fr-FR"/>
        </w:rPr>
        <w:t>homme des réfugiés et des demandeurs d</w:t>
      </w:r>
      <w:r w:rsidR="004618D5" w:rsidRPr="004618D5">
        <w:rPr>
          <w:lang w:val="fr-FR"/>
        </w:rPr>
        <w:t>’</w:t>
      </w:r>
      <w:r w:rsidR="00E6417F" w:rsidRPr="004618D5">
        <w:rPr>
          <w:lang w:val="fr-FR"/>
        </w:rPr>
        <w:t>asile en Europe.</w:t>
      </w:r>
    </w:p>
    <w:p w:rsidR="00B664A0" w:rsidRPr="004618D5" w:rsidRDefault="00B664A0" w:rsidP="004618D5">
      <w:pPr>
        <w:pStyle w:val="ECHRParaQuote"/>
        <w:rPr>
          <w:lang w:val="fr-FR"/>
        </w:rPr>
      </w:pPr>
      <w:r w:rsidRPr="004618D5">
        <w:rPr>
          <w:lang w:val="fr-FR"/>
        </w:rPr>
        <w:t>2. </w:t>
      </w:r>
      <w:r w:rsidR="00F02598" w:rsidRPr="004618D5">
        <w:rPr>
          <w:lang w:val="fr-FR"/>
        </w:rPr>
        <w:t> </w:t>
      </w:r>
      <w:r w:rsidRPr="004618D5">
        <w:rPr>
          <w:lang w:val="fr-FR"/>
        </w:rPr>
        <w:t>L</w:t>
      </w:r>
      <w:r w:rsidR="004618D5" w:rsidRPr="004618D5">
        <w:rPr>
          <w:lang w:val="fr-FR"/>
        </w:rPr>
        <w:t>’</w:t>
      </w:r>
      <w:r w:rsidRPr="004618D5">
        <w:rPr>
          <w:lang w:val="fr-FR"/>
        </w:rPr>
        <w:t>Assemblée est préoccupée par le fait que les politiques de l</w:t>
      </w:r>
      <w:r w:rsidR="004618D5" w:rsidRPr="004618D5">
        <w:rPr>
          <w:lang w:val="fr-FR"/>
        </w:rPr>
        <w:t>’</w:t>
      </w:r>
      <w:r w:rsidRPr="004618D5">
        <w:rPr>
          <w:lang w:val="fr-FR"/>
        </w:rPr>
        <w:t xml:space="preserve">immigration de la plupart des </w:t>
      </w:r>
      <w:r w:rsidR="000F5E47" w:rsidRPr="004618D5">
        <w:rPr>
          <w:lang w:val="fr-FR"/>
        </w:rPr>
        <w:t>États</w:t>
      </w:r>
      <w:r w:rsidRPr="004618D5">
        <w:rPr>
          <w:lang w:val="fr-FR"/>
        </w:rPr>
        <w:t xml:space="preserve"> membres du Conseil de l</w:t>
      </w:r>
      <w:r w:rsidR="004618D5" w:rsidRPr="004618D5">
        <w:rPr>
          <w:lang w:val="fr-FR"/>
        </w:rPr>
        <w:t>’</w:t>
      </w:r>
      <w:r w:rsidRPr="004618D5">
        <w:rPr>
          <w:lang w:val="fr-FR"/>
        </w:rPr>
        <w:t>Europe sont discriminatoires à l</w:t>
      </w:r>
      <w:r w:rsidR="004618D5" w:rsidRPr="004618D5">
        <w:rPr>
          <w:lang w:val="fr-FR"/>
        </w:rPr>
        <w:t>’</w:t>
      </w:r>
      <w:r w:rsidRPr="004618D5">
        <w:rPr>
          <w:lang w:val="fr-FR"/>
        </w:rPr>
        <w:t xml:space="preserve">égard des homosexuels. La majorité de ces </w:t>
      </w:r>
      <w:r w:rsidR="000F5E47" w:rsidRPr="004618D5">
        <w:rPr>
          <w:lang w:val="fr-FR"/>
        </w:rPr>
        <w:t>États</w:t>
      </w:r>
      <w:r w:rsidRPr="004618D5">
        <w:rPr>
          <w:lang w:val="fr-FR"/>
        </w:rPr>
        <w:t>, par exemple, ne reconnaissent pas la persécution pour raison d</w:t>
      </w:r>
      <w:r w:rsidR="004618D5" w:rsidRPr="004618D5">
        <w:rPr>
          <w:lang w:val="fr-FR"/>
        </w:rPr>
        <w:t>’</w:t>
      </w:r>
      <w:r w:rsidRPr="004618D5">
        <w:rPr>
          <w:lang w:val="fr-FR"/>
        </w:rPr>
        <w:t>orientation sexuelle comme un motif valable d</w:t>
      </w:r>
      <w:r w:rsidR="004618D5" w:rsidRPr="004618D5">
        <w:rPr>
          <w:lang w:val="fr-FR"/>
        </w:rPr>
        <w:t>’</w:t>
      </w:r>
      <w:r w:rsidRPr="004618D5">
        <w:rPr>
          <w:lang w:val="fr-FR"/>
        </w:rPr>
        <w:t>octroi de l</w:t>
      </w:r>
      <w:r w:rsidR="004618D5" w:rsidRPr="004618D5">
        <w:rPr>
          <w:lang w:val="fr-FR"/>
        </w:rPr>
        <w:t>’</w:t>
      </w:r>
      <w:r w:rsidRPr="004618D5">
        <w:rPr>
          <w:lang w:val="fr-FR"/>
        </w:rPr>
        <w:t>asile et ne prévoient aucun type de droit de séjour pour les membres de nationalité étrangère de couples homosexu</w:t>
      </w:r>
      <w:r w:rsidR="00E6417F" w:rsidRPr="004618D5">
        <w:rPr>
          <w:lang w:val="fr-FR"/>
        </w:rPr>
        <w:t>els binationaux.</w:t>
      </w:r>
    </w:p>
    <w:p w:rsidR="00B664A0" w:rsidRPr="004618D5" w:rsidRDefault="00B664A0" w:rsidP="004618D5">
      <w:pPr>
        <w:pStyle w:val="ECHRParaQuote"/>
        <w:rPr>
          <w:lang w:val="fr-FR"/>
        </w:rPr>
      </w:pPr>
      <w:r w:rsidRPr="004618D5">
        <w:rPr>
          <w:lang w:val="fr-FR"/>
        </w:rPr>
        <w:t>3. </w:t>
      </w:r>
      <w:r w:rsidR="00F02598" w:rsidRPr="004618D5">
        <w:rPr>
          <w:lang w:val="fr-FR"/>
        </w:rPr>
        <w:t> </w:t>
      </w:r>
      <w:r w:rsidRPr="004618D5">
        <w:rPr>
          <w:lang w:val="fr-FR"/>
        </w:rPr>
        <w:t>De même, les règles en matière de regroupement familial et de prestations sociales ne s</w:t>
      </w:r>
      <w:r w:rsidR="004618D5" w:rsidRPr="004618D5">
        <w:rPr>
          <w:lang w:val="fr-FR"/>
        </w:rPr>
        <w:t>’</w:t>
      </w:r>
      <w:r w:rsidRPr="004618D5">
        <w:rPr>
          <w:lang w:val="fr-FR"/>
        </w:rPr>
        <w:t>appliquent généraleme</w:t>
      </w:r>
      <w:r w:rsidR="00E6417F" w:rsidRPr="004618D5">
        <w:rPr>
          <w:lang w:val="fr-FR"/>
        </w:rPr>
        <w:t>nt pas aux couples homosexuels.</w:t>
      </w:r>
    </w:p>
    <w:p w:rsidR="00B664A0" w:rsidRPr="004618D5" w:rsidRDefault="00B664A0" w:rsidP="004618D5">
      <w:pPr>
        <w:pStyle w:val="ECHRParaQuote"/>
        <w:rPr>
          <w:lang w:val="fr-FR"/>
        </w:rPr>
      </w:pPr>
      <w:r w:rsidRPr="004618D5">
        <w:rPr>
          <w:lang w:val="fr-FR"/>
        </w:rPr>
        <w:t>(</w:t>
      </w:r>
      <w:r w:rsidR="00B55B33" w:rsidRPr="004618D5">
        <w:rPr>
          <w:lang w:val="fr-FR"/>
        </w:rPr>
        <w:t>...</w:t>
      </w:r>
      <w:r w:rsidRPr="004618D5">
        <w:rPr>
          <w:lang w:val="fr-FR"/>
        </w:rPr>
        <w:t>)</w:t>
      </w:r>
    </w:p>
    <w:p w:rsidR="00B664A0" w:rsidRPr="004618D5" w:rsidRDefault="00B664A0" w:rsidP="004618D5">
      <w:pPr>
        <w:pStyle w:val="ECHRParaQuote"/>
        <w:rPr>
          <w:lang w:val="fr-FR"/>
        </w:rPr>
      </w:pPr>
      <w:r w:rsidRPr="004618D5">
        <w:rPr>
          <w:lang w:val="fr-FR"/>
        </w:rPr>
        <w:t>6. </w:t>
      </w:r>
      <w:r w:rsidR="00F02598" w:rsidRPr="004618D5">
        <w:rPr>
          <w:lang w:val="fr-FR"/>
        </w:rPr>
        <w:t> </w:t>
      </w:r>
      <w:r w:rsidRPr="004618D5">
        <w:rPr>
          <w:lang w:val="fr-FR"/>
        </w:rPr>
        <w:t>De plus, l</w:t>
      </w:r>
      <w:r w:rsidR="004618D5" w:rsidRPr="004618D5">
        <w:rPr>
          <w:lang w:val="fr-FR"/>
        </w:rPr>
        <w:t>’</w:t>
      </w:r>
      <w:r w:rsidRPr="004618D5">
        <w:rPr>
          <w:lang w:val="fr-FR"/>
        </w:rPr>
        <w:t xml:space="preserve">Assemblée est consciente que le refus de la plupart des </w:t>
      </w:r>
      <w:r w:rsidR="000F5E47" w:rsidRPr="004618D5">
        <w:rPr>
          <w:lang w:val="fr-FR"/>
        </w:rPr>
        <w:t>États</w:t>
      </w:r>
      <w:r w:rsidRPr="004618D5">
        <w:rPr>
          <w:lang w:val="fr-FR"/>
        </w:rPr>
        <w:t xml:space="preserve"> membres d</w:t>
      </w:r>
      <w:r w:rsidR="004618D5" w:rsidRPr="004618D5">
        <w:rPr>
          <w:lang w:val="fr-FR"/>
        </w:rPr>
        <w:t>’</w:t>
      </w:r>
      <w:r w:rsidRPr="004618D5">
        <w:rPr>
          <w:lang w:val="fr-FR"/>
        </w:rPr>
        <w:t>accorder un droit de séjour aux membres de nationalité étrangère de couples homosexuels binationaux est à l</w:t>
      </w:r>
      <w:r w:rsidR="004618D5" w:rsidRPr="004618D5">
        <w:rPr>
          <w:lang w:val="fr-FR"/>
        </w:rPr>
        <w:t>’</w:t>
      </w:r>
      <w:r w:rsidRPr="004618D5">
        <w:rPr>
          <w:lang w:val="fr-FR"/>
        </w:rPr>
        <w:t xml:space="preserve">origine de situations très douloureuses pour de </w:t>
      </w:r>
      <w:r w:rsidRPr="004618D5">
        <w:rPr>
          <w:lang w:val="fr-FR"/>
        </w:rPr>
        <w:lastRenderedPageBreak/>
        <w:t>nombreux couples homosexuels, qui peuvent se trouver séparés de ce fait et contraints de vivre dans deux pays différents. Elle estime que les règles applicables aux couples en matière d</w:t>
      </w:r>
      <w:r w:rsidR="004618D5" w:rsidRPr="004618D5">
        <w:rPr>
          <w:lang w:val="fr-FR"/>
        </w:rPr>
        <w:t>’</w:t>
      </w:r>
      <w:r w:rsidRPr="004618D5">
        <w:rPr>
          <w:lang w:val="fr-FR"/>
        </w:rPr>
        <w:t>immigration ne doivent pas établir de distinction entre relations homosexuelles et relations hétérosexuelles. Par conséquent, un document établissant l</w:t>
      </w:r>
      <w:r w:rsidR="004618D5" w:rsidRPr="004618D5">
        <w:rPr>
          <w:lang w:val="fr-FR"/>
        </w:rPr>
        <w:t>’</w:t>
      </w:r>
      <w:r w:rsidRPr="004618D5">
        <w:rPr>
          <w:lang w:val="fr-FR"/>
        </w:rPr>
        <w:t>existence d</w:t>
      </w:r>
      <w:r w:rsidR="004618D5" w:rsidRPr="004618D5">
        <w:rPr>
          <w:lang w:val="fr-FR"/>
        </w:rPr>
        <w:t>’</w:t>
      </w:r>
      <w:r w:rsidRPr="004618D5">
        <w:rPr>
          <w:lang w:val="fr-FR"/>
        </w:rPr>
        <w:t>une relation suivie, autre que le certificat de mariage, devrait pouvoir être admis parmi les pièces demandées pour l</w:t>
      </w:r>
      <w:r w:rsidR="004618D5" w:rsidRPr="004618D5">
        <w:rPr>
          <w:lang w:val="fr-FR"/>
        </w:rPr>
        <w:t>’</w:t>
      </w:r>
      <w:r w:rsidRPr="004618D5">
        <w:rPr>
          <w:lang w:val="fr-FR"/>
        </w:rPr>
        <w:t xml:space="preserve">admission au bénéfice du droit de séjour dans </w:t>
      </w:r>
      <w:r w:rsidR="00E6417F" w:rsidRPr="004618D5">
        <w:rPr>
          <w:lang w:val="fr-FR"/>
        </w:rPr>
        <w:t>le cas des couples homosexuels.</w:t>
      </w:r>
    </w:p>
    <w:p w:rsidR="004618D5" w:rsidRPr="004618D5" w:rsidRDefault="00B664A0" w:rsidP="004618D5">
      <w:pPr>
        <w:pStyle w:val="ECHRParaQuote"/>
        <w:rPr>
          <w:lang w:val="fr-FR"/>
        </w:rPr>
      </w:pPr>
      <w:r w:rsidRPr="004618D5">
        <w:rPr>
          <w:lang w:val="fr-FR"/>
        </w:rPr>
        <w:t>7. </w:t>
      </w:r>
      <w:r w:rsidR="00F02598" w:rsidRPr="004618D5">
        <w:rPr>
          <w:lang w:val="fr-FR"/>
        </w:rPr>
        <w:t> </w:t>
      </w:r>
      <w:r w:rsidRPr="004618D5">
        <w:rPr>
          <w:lang w:val="fr-FR"/>
        </w:rPr>
        <w:t>Par conséquent, l</w:t>
      </w:r>
      <w:r w:rsidR="004618D5" w:rsidRPr="004618D5">
        <w:rPr>
          <w:lang w:val="fr-FR"/>
        </w:rPr>
        <w:t>’</w:t>
      </w:r>
      <w:r w:rsidRPr="004618D5">
        <w:rPr>
          <w:lang w:val="fr-FR"/>
        </w:rPr>
        <w:t>Assemblée recommande au Comité des Ministres</w:t>
      </w:r>
      <w:r w:rsidR="0015491E" w:rsidRPr="004618D5">
        <w:rPr>
          <w:lang w:val="fr-FR"/>
        </w:rPr>
        <w:t> </w:t>
      </w:r>
      <w:r w:rsidRPr="004618D5">
        <w:rPr>
          <w:lang w:val="fr-FR"/>
        </w:rPr>
        <w:t>:</w:t>
      </w:r>
    </w:p>
    <w:p w:rsidR="0015491E" w:rsidRPr="004618D5" w:rsidRDefault="0015491E" w:rsidP="004618D5">
      <w:pPr>
        <w:pStyle w:val="ECHRParaQuote"/>
        <w:rPr>
          <w:lang w:val="fr-FR"/>
        </w:rPr>
      </w:pPr>
      <w:r w:rsidRPr="004618D5">
        <w:rPr>
          <w:lang w:val="fr-FR"/>
        </w:rPr>
        <w:t>7.1.</w:t>
      </w:r>
      <w:r w:rsidR="00F02598" w:rsidRPr="004618D5">
        <w:rPr>
          <w:lang w:val="fr-FR"/>
        </w:rPr>
        <w:t>  </w:t>
      </w:r>
      <w:r w:rsidRPr="004618D5">
        <w:rPr>
          <w:lang w:val="fr-FR"/>
        </w:rPr>
        <w:t>de charger ses comités compétents :</w:t>
      </w:r>
    </w:p>
    <w:p w:rsidR="00B664A0" w:rsidRPr="004618D5" w:rsidRDefault="00B664A0" w:rsidP="004618D5">
      <w:pPr>
        <w:pStyle w:val="ECHRParaQuote"/>
        <w:rPr>
          <w:lang w:val="fr-FR"/>
        </w:rPr>
      </w:pPr>
      <w:r w:rsidRPr="004618D5">
        <w:rPr>
          <w:lang w:val="fr-FR"/>
        </w:rPr>
        <w:t>(</w:t>
      </w:r>
      <w:r w:rsidR="00B55B33" w:rsidRPr="004618D5">
        <w:rPr>
          <w:lang w:val="fr-FR"/>
        </w:rPr>
        <w:t>...</w:t>
      </w:r>
      <w:r w:rsidRPr="004618D5">
        <w:rPr>
          <w:lang w:val="fr-FR"/>
        </w:rPr>
        <w:t>)</w:t>
      </w:r>
    </w:p>
    <w:p w:rsidR="00B664A0" w:rsidRPr="004618D5" w:rsidRDefault="00B664A0" w:rsidP="004618D5">
      <w:pPr>
        <w:pStyle w:val="ECHRParaQuote"/>
        <w:rPr>
          <w:lang w:val="fr-FR"/>
        </w:rPr>
      </w:pPr>
      <w:r w:rsidRPr="004618D5">
        <w:rPr>
          <w:i/>
          <w:iCs/>
          <w:lang w:val="fr-FR"/>
        </w:rPr>
        <w:t>c.</w:t>
      </w:r>
      <w:r w:rsidRPr="004618D5">
        <w:rPr>
          <w:lang w:val="fr-FR"/>
        </w:rPr>
        <w:t> </w:t>
      </w:r>
      <w:r w:rsidR="00F02598" w:rsidRPr="004618D5">
        <w:rPr>
          <w:lang w:val="fr-FR"/>
        </w:rPr>
        <w:t> </w:t>
      </w:r>
      <w:r w:rsidRPr="004618D5">
        <w:rPr>
          <w:lang w:val="fr-FR"/>
        </w:rPr>
        <w:t>de définir des lignes directrices concernant le traitement des homosexuels réfugiés ou membres d</w:t>
      </w:r>
      <w:r w:rsidR="004618D5" w:rsidRPr="004618D5">
        <w:rPr>
          <w:lang w:val="fr-FR"/>
        </w:rPr>
        <w:t>’</w:t>
      </w:r>
      <w:r w:rsidRPr="004618D5">
        <w:rPr>
          <w:lang w:val="fr-FR"/>
        </w:rPr>
        <w:t>un couple binational</w:t>
      </w:r>
      <w:r w:rsidR="0015491E" w:rsidRPr="004618D5">
        <w:rPr>
          <w:lang w:val="fr-FR"/>
        </w:rPr>
        <w:t> </w:t>
      </w:r>
      <w:r w:rsidR="000F6015" w:rsidRPr="004618D5">
        <w:rPr>
          <w:lang w:val="fr-FR"/>
        </w:rPr>
        <w:t>;</w:t>
      </w:r>
    </w:p>
    <w:p w:rsidR="00B664A0" w:rsidRPr="004618D5" w:rsidRDefault="00B664A0" w:rsidP="004618D5">
      <w:pPr>
        <w:pStyle w:val="ECHRParaQuote"/>
        <w:rPr>
          <w:lang w:val="fr-FR"/>
        </w:rPr>
      </w:pPr>
      <w:r w:rsidRPr="004618D5">
        <w:rPr>
          <w:lang w:val="fr-FR"/>
        </w:rPr>
        <w:t>(</w:t>
      </w:r>
      <w:r w:rsidR="00B55B33" w:rsidRPr="004618D5">
        <w:rPr>
          <w:lang w:val="fr-FR"/>
        </w:rPr>
        <w:t>...</w:t>
      </w:r>
      <w:r w:rsidRPr="004618D5">
        <w:rPr>
          <w:lang w:val="fr-FR"/>
        </w:rPr>
        <w:t>)</w:t>
      </w:r>
    </w:p>
    <w:p w:rsidR="00B664A0" w:rsidRPr="004618D5" w:rsidRDefault="0015491E" w:rsidP="004618D5">
      <w:pPr>
        <w:pStyle w:val="ECHRParaQuote"/>
        <w:rPr>
          <w:lang w:val="fr-FR"/>
        </w:rPr>
      </w:pPr>
      <w:r w:rsidRPr="004618D5">
        <w:rPr>
          <w:lang w:val="fr-FR"/>
        </w:rPr>
        <w:t>7.2</w:t>
      </w:r>
      <w:r w:rsidR="00B664A0" w:rsidRPr="004618D5">
        <w:rPr>
          <w:lang w:val="fr-FR"/>
        </w:rPr>
        <w:t>. </w:t>
      </w:r>
      <w:r w:rsidR="00F02598" w:rsidRPr="004618D5">
        <w:rPr>
          <w:lang w:val="fr-FR"/>
        </w:rPr>
        <w:t> </w:t>
      </w:r>
      <w:r w:rsidR="00B664A0" w:rsidRPr="004618D5">
        <w:rPr>
          <w:lang w:val="fr-FR"/>
        </w:rPr>
        <w:t>de demander instamment aux États membres</w:t>
      </w:r>
      <w:r w:rsidRPr="004618D5">
        <w:rPr>
          <w:lang w:val="fr-FR"/>
        </w:rPr>
        <w:t> </w:t>
      </w:r>
      <w:r w:rsidR="000F6015" w:rsidRPr="004618D5">
        <w:rPr>
          <w:lang w:val="fr-FR"/>
        </w:rPr>
        <w:t>:</w:t>
      </w:r>
    </w:p>
    <w:p w:rsidR="00B664A0" w:rsidRPr="004618D5" w:rsidRDefault="00B664A0" w:rsidP="004618D5">
      <w:pPr>
        <w:pStyle w:val="ECHRParaQuote"/>
        <w:rPr>
          <w:lang w:val="fr-FR"/>
        </w:rPr>
      </w:pPr>
      <w:r w:rsidRPr="004618D5">
        <w:rPr>
          <w:lang w:val="fr-FR"/>
        </w:rPr>
        <w:t>(</w:t>
      </w:r>
      <w:r w:rsidR="00B55B33" w:rsidRPr="004618D5">
        <w:rPr>
          <w:lang w:val="fr-FR"/>
        </w:rPr>
        <w:t>...</w:t>
      </w:r>
      <w:r w:rsidRPr="004618D5">
        <w:rPr>
          <w:lang w:val="fr-FR"/>
        </w:rPr>
        <w:t>)</w:t>
      </w:r>
    </w:p>
    <w:p w:rsidR="00B664A0" w:rsidRPr="004618D5" w:rsidRDefault="00B664A0" w:rsidP="004618D5">
      <w:pPr>
        <w:pStyle w:val="ECHRParaQuote"/>
        <w:rPr>
          <w:lang w:val="fr-FR"/>
        </w:rPr>
      </w:pPr>
      <w:r w:rsidRPr="004618D5">
        <w:rPr>
          <w:i/>
          <w:iCs/>
          <w:lang w:val="fr-FR"/>
        </w:rPr>
        <w:t>d.</w:t>
      </w:r>
      <w:r w:rsidRPr="004618D5">
        <w:rPr>
          <w:lang w:val="fr-FR"/>
        </w:rPr>
        <w:t> </w:t>
      </w:r>
      <w:r w:rsidR="00F02598" w:rsidRPr="004618D5">
        <w:rPr>
          <w:lang w:val="fr-FR"/>
        </w:rPr>
        <w:t> </w:t>
      </w:r>
      <w:r w:rsidRPr="004618D5">
        <w:rPr>
          <w:lang w:val="fr-FR"/>
        </w:rPr>
        <w:t>de revoir leur politique en matière de droits sociaux et de protection des migrants de manière à ce que les couples et les familles homosexuels soient traités selon les mêmes règles que les couples et les familles hétérosexuels</w:t>
      </w:r>
      <w:r w:rsidR="0015491E" w:rsidRPr="004618D5">
        <w:rPr>
          <w:lang w:val="fr-FR"/>
        </w:rPr>
        <w:t> </w:t>
      </w:r>
      <w:r w:rsidR="000F6015" w:rsidRPr="004618D5">
        <w:rPr>
          <w:lang w:val="fr-FR"/>
        </w:rPr>
        <w:t>;</w:t>
      </w:r>
    </w:p>
    <w:p w:rsidR="00B664A0" w:rsidRPr="004618D5" w:rsidRDefault="00B664A0" w:rsidP="004618D5">
      <w:pPr>
        <w:pStyle w:val="ECHRParaQuote"/>
        <w:rPr>
          <w:lang w:val="fr-FR"/>
        </w:rPr>
      </w:pPr>
      <w:r w:rsidRPr="004618D5">
        <w:rPr>
          <w:i/>
          <w:iCs/>
          <w:lang w:val="fr-FR"/>
        </w:rPr>
        <w:t>e.</w:t>
      </w:r>
      <w:r w:rsidRPr="004618D5">
        <w:rPr>
          <w:lang w:val="fr-FR"/>
        </w:rPr>
        <w:t> </w:t>
      </w:r>
      <w:r w:rsidR="00F02598" w:rsidRPr="004618D5">
        <w:rPr>
          <w:lang w:val="fr-FR"/>
        </w:rPr>
        <w:t> </w:t>
      </w:r>
      <w:r w:rsidRPr="004618D5">
        <w:rPr>
          <w:lang w:val="fr-FR"/>
        </w:rPr>
        <w:t>de prendre les mesures requises pour que les couples homosexuels binationaux bénéficient des même</w:t>
      </w:r>
      <w:r w:rsidR="0057758D" w:rsidRPr="004618D5">
        <w:rPr>
          <w:lang w:val="fr-FR"/>
        </w:rPr>
        <w:t xml:space="preserve">s </w:t>
      </w:r>
      <w:r w:rsidRPr="004618D5">
        <w:rPr>
          <w:lang w:val="fr-FR"/>
        </w:rPr>
        <w:t>droits en matière de résidence que les couples binationaux hétérosexuels</w:t>
      </w:r>
      <w:r w:rsidR="0015491E" w:rsidRPr="004618D5">
        <w:rPr>
          <w:lang w:val="fr-FR"/>
        </w:rPr>
        <w:t> </w:t>
      </w:r>
      <w:r w:rsidR="000F6015" w:rsidRPr="004618D5">
        <w:rPr>
          <w:lang w:val="fr-FR"/>
        </w:rPr>
        <w:t>;</w:t>
      </w:r>
    </w:p>
    <w:p w:rsidR="00B664A0" w:rsidRPr="004618D5" w:rsidRDefault="00B664A0" w:rsidP="004618D5">
      <w:pPr>
        <w:pStyle w:val="ECHRParaQuote"/>
        <w:rPr>
          <w:lang w:val="fr-FR"/>
        </w:rPr>
      </w:pPr>
      <w:r w:rsidRPr="004618D5">
        <w:rPr>
          <w:lang w:val="fr-FR"/>
        </w:rPr>
        <w:t>(</w:t>
      </w:r>
      <w:r w:rsidR="00B55B33" w:rsidRPr="004618D5">
        <w:rPr>
          <w:lang w:val="fr-FR"/>
        </w:rPr>
        <w:t>...</w:t>
      </w:r>
      <w:r w:rsidRPr="004618D5">
        <w:rPr>
          <w:lang w:val="fr-FR"/>
        </w:rPr>
        <w:t>)</w:t>
      </w:r>
    </w:p>
    <w:p w:rsidR="00B664A0" w:rsidRPr="004618D5" w:rsidRDefault="00B664A0" w:rsidP="004618D5">
      <w:pPr>
        <w:pStyle w:val="ECHRParaQuote"/>
        <w:rPr>
          <w:lang w:val="fr-FR"/>
        </w:rPr>
      </w:pPr>
      <w:r w:rsidRPr="004618D5">
        <w:rPr>
          <w:i/>
          <w:iCs/>
          <w:lang w:val="fr-FR"/>
        </w:rPr>
        <w:t>h.</w:t>
      </w:r>
      <w:r w:rsidRPr="004618D5">
        <w:rPr>
          <w:lang w:val="fr-FR"/>
        </w:rPr>
        <w:t> </w:t>
      </w:r>
      <w:r w:rsidR="00F02598" w:rsidRPr="004618D5">
        <w:rPr>
          <w:lang w:val="fr-FR"/>
        </w:rPr>
        <w:t> </w:t>
      </w:r>
      <w:r w:rsidRPr="004618D5">
        <w:rPr>
          <w:lang w:val="fr-FR"/>
        </w:rPr>
        <w:t>de veiller à ce que les agents des services de l</w:t>
      </w:r>
      <w:r w:rsidR="004618D5" w:rsidRPr="004618D5">
        <w:rPr>
          <w:lang w:val="fr-FR"/>
        </w:rPr>
        <w:t>’</w:t>
      </w:r>
      <w:r w:rsidRPr="004618D5">
        <w:rPr>
          <w:lang w:val="fr-FR"/>
        </w:rPr>
        <w:t>immigration en contact avec des demandeurs d</w:t>
      </w:r>
      <w:r w:rsidR="004618D5" w:rsidRPr="004618D5">
        <w:rPr>
          <w:lang w:val="fr-FR"/>
        </w:rPr>
        <w:t>’</w:t>
      </w:r>
      <w:r w:rsidRPr="004618D5">
        <w:rPr>
          <w:lang w:val="fr-FR"/>
        </w:rPr>
        <w:t>asile et des couples homosexuels binationaux soient formés à prendre en considération la situation spécifique des homosexuels et de leurs partenaires</w:t>
      </w:r>
      <w:r w:rsidR="0015491E" w:rsidRPr="004618D5">
        <w:rPr>
          <w:lang w:val="fr-FR"/>
        </w:rPr>
        <w:t>.</w:t>
      </w:r>
      <w:r w:rsidRPr="004618D5">
        <w:rPr>
          <w:lang w:val="fr-FR"/>
        </w:rPr>
        <w:t> »</w:t>
      </w:r>
    </w:p>
    <w:p w:rsidR="00B664A0" w:rsidRPr="004618D5" w:rsidRDefault="000F5E47" w:rsidP="004618D5">
      <w:pPr>
        <w:pStyle w:val="ECHRHeading2"/>
        <w:rPr>
          <w:lang w:val="fr-FR"/>
        </w:rPr>
      </w:pPr>
      <w:r w:rsidRPr="004618D5">
        <w:rPr>
          <w:lang w:val="fr-FR"/>
        </w:rPr>
        <w:t>D.  </w:t>
      </w:r>
      <w:r w:rsidR="00B664A0" w:rsidRPr="004618D5">
        <w:rPr>
          <w:lang w:val="fr-FR"/>
        </w:rPr>
        <w:t>La Recommandation 1686 (2004) de l</w:t>
      </w:r>
      <w:r w:rsidR="004618D5" w:rsidRPr="004618D5">
        <w:rPr>
          <w:lang w:val="fr-FR"/>
        </w:rPr>
        <w:t>’</w:t>
      </w:r>
      <w:r w:rsidR="0015491E" w:rsidRPr="004618D5">
        <w:rPr>
          <w:lang w:val="fr-FR"/>
        </w:rPr>
        <w:t>APCE</w:t>
      </w:r>
    </w:p>
    <w:p w:rsidR="00B664A0" w:rsidRPr="004618D5" w:rsidRDefault="000F5E47"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34</w:t>
      </w:r>
      <w:r w:rsidRPr="004618D5">
        <w:rPr>
          <w:lang w:val="fr-FR"/>
        </w:rPr>
        <w:fldChar w:fldCharType="end"/>
      </w:r>
      <w:r w:rsidRPr="004618D5">
        <w:rPr>
          <w:lang w:val="fr-FR"/>
        </w:rPr>
        <w:t>.  </w:t>
      </w:r>
      <w:r w:rsidR="00B664A0" w:rsidRPr="004618D5">
        <w:rPr>
          <w:lang w:val="fr-FR"/>
        </w:rPr>
        <w:t>Dans sa Recommandation 1686</w:t>
      </w:r>
      <w:r w:rsidR="00764229" w:rsidRPr="004618D5">
        <w:rPr>
          <w:lang w:val="fr-FR"/>
        </w:rPr>
        <w:t xml:space="preserve"> (2004)</w:t>
      </w:r>
      <w:r w:rsidR="00F02598" w:rsidRPr="004618D5">
        <w:rPr>
          <w:lang w:val="fr-FR"/>
        </w:rPr>
        <w:t xml:space="preserve"> relative à la </w:t>
      </w:r>
      <w:r w:rsidR="00B664A0" w:rsidRPr="004618D5">
        <w:rPr>
          <w:lang w:val="fr-FR"/>
        </w:rPr>
        <w:t xml:space="preserve">mobilité humaine et </w:t>
      </w:r>
      <w:r w:rsidR="008C07D5" w:rsidRPr="004618D5">
        <w:rPr>
          <w:lang w:val="fr-FR"/>
        </w:rPr>
        <w:t xml:space="preserve">au </w:t>
      </w:r>
      <w:r w:rsidR="00B664A0" w:rsidRPr="004618D5">
        <w:rPr>
          <w:lang w:val="fr-FR"/>
        </w:rPr>
        <w:t>droit au regroupement familial, l</w:t>
      </w:r>
      <w:r w:rsidR="004618D5" w:rsidRPr="004618D5">
        <w:rPr>
          <w:lang w:val="fr-FR"/>
        </w:rPr>
        <w:t>’</w:t>
      </w:r>
      <w:r w:rsidR="00B664A0" w:rsidRPr="004618D5">
        <w:rPr>
          <w:lang w:val="fr-FR"/>
        </w:rPr>
        <w:t>A</w:t>
      </w:r>
      <w:r w:rsidR="0015491E" w:rsidRPr="004618D5">
        <w:rPr>
          <w:lang w:val="fr-FR"/>
        </w:rPr>
        <w:t>PCE</w:t>
      </w:r>
      <w:r w:rsidR="00B664A0" w:rsidRPr="004618D5">
        <w:rPr>
          <w:lang w:val="fr-FR"/>
        </w:rPr>
        <w:t xml:space="preserve"> </w:t>
      </w:r>
      <w:r w:rsidR="00764229" w:rsidRPr="004618D5">
        <w:rPr>
          <w:lang w:val="fr-FR"/>
        </w:rPr>
        <w:t>a recommandé</w:t>
      </w:r>
      <w:r w:rsidR="00B664A0" w:rsidRPr="004618D5">
        <w:rPr>
          <w:lang w:val="fr-FR"/>
        </w:rPr>
        <w:t xml:space="preserve"> </w:t>
      </w:r>
      <w:r w:rsidR="00764229" w:rsidRPr="004618D5">
        <w:rPr>
          <w:lang w:val="fr-FR"/>
        </w:rPr>
        <w:t>au</w:t>
      </w:r>
      <w:r w:rsidR="00B664A0" w:rsidRPr="004618D5">
        <w:rPr>
          <w:lang w:val="fr-FR"/>
        </w:rPr>
        <w:t xml:space="preserve"> Comité des Ministres</w:t>
      </w:r>
      <w:r w:rsidR="00764229" w:rsidRPr="004618D5">
        <w:rPr>
          <w:lang w:val="fr-FR"/>
        </w:rPr>
        <w:t>, entre autres,</w:t>
      </w:r>
    </w:p>
    <w:p w:rsidR="00764229" w:rsidRPr="004618D5" w:rsidRDefault="00B664A0" w:rsidP="004618D5">
      <w:pPr>
        <w:pStyle w:val="ECHRParaQuote"/>
        <w:rPr>
          <w:lang w:val="fr-FR"/>
        </w:rPr>
      </w:pPr>
      <w:r w:rsidRPr="004618D5">
        <w:rPr>
          <w:lang w:val="fr-FR"/>
        </w:rPr>
        <w:t>« </w:t>
      </w:r>
      <w:r w:rsidR="00764229" w:rsidRPr="004618D5">
        <w:rPr>
          <w:lang w:val="fr-FR"/>
        </w:rPr>
        <w:t>(</w:t>
      </w:r>
      <w:r w:rsidR="00B55B33" w:rsidRPr="004618D5">
        <w:rPr>
          <w:lang w:val="fr-FR"/>
        </w:rPr>
        <w:t>...</w:t>
      </w:r>
      <w:r w:rsidR="00764229" w:rsidRPr="004618D5">
        <w:rPr>
          <w:lang w:val="fr-FR"/>
        </w:rPr>
        <w:t>) ;</w:t>
      </w:r>
    </w:p>
    <w:p w:rsidR="000F5E47" w:rsidRPr="004618D5" w:rsidRDefault="00B664A0" w:rsidP="004618D5">
      <w:pPr>
        <w:pStyle w:val="ECHRParaQuote"/>
        <w:rPr>
          <w:lang w:val="fr-FR"/>
        </w:rPr>
      </w:pPr>
      <w:r w:rsidRPr="004618D5">
        <w:rPr>
          <w:lang w:val="fr-FR"/>
        </w:rPr>
        <w:t>iii.</w:t>
      </w:r>
      <w:r w:rsidR="00F02598" w:rsidRPr="004618D5">
        <w:rPr>
          <w:lang w:val="fr-FR"/>
        </w:rPr>
        <w:t>  </w:t>
      </w:r>
      <w:r w:rsidR="00764229" w:rsidRPr="004618D5">
        <w:rPr>
          <w:lang w:val="fr-FR"/>
        </w:rPr>
        <w:t>d</w:t>
      </w:r>
      <w:r w:rsidR="004618D5" w:rsidRPr="004618D5">
        <w:rPr>
          <w:lang w:val="fr-FR"/>
        </w:rPr>
        <w:t>’</w:t>
      </w:r>
      <w:r w:rsidRPr="004618D5">
        <w:rPr>
          <w:lang w:val="fr-FR"/>
        </w:rPr>
        <w:t xml:space="preserve">adresser entre-temps une recommandation aux </w:t>
      </w:r>
      <w:r w:rsidR="000F5E47" w:rsidRPr="004618D5">
        <w:rPr>
          <w:lang w:val="fr-FR"/>
        </w:rPr>
        <w:t>États</w:t>
      </w:r>
      <w:r w:rsidRPr="004618D5">
        <w:rPr>
          <w:lang w:val="fr-FR"/>
        </w:rPr>
        <w:t xml:space="preserve"> membres les exhortant :</w:t>
      </w:r>
    </w:p>
    <w:p w:rsidR="00764229" w:rsidRPr="004618D5" w:rsidRDefault="00B664A0" w:rsidP="004618D5">
      <w:pPr>
        <w:pStyle w:val="ECHRParaQuote"/>
        <w:rPr>
          <w:lang w:val="fr-FR"/>
        </w:rPr>
      </w:pPr>
      <w:r w:rsidRPr="004618D5">
        <w:rPr>
          <w:i/>
          <w:iCs/>
          <w:lang w:val="fr-FR"/>
        </w:rPr>
        <w:t>a</w:t>
      </w:r>
      <w:r w:rsidR="00E6417F" w:rsidRPr="004618D5">
        <w:rPr>
          <w:lang w:val="fr-FR"/>
        </w:rPr>
        <w:t>.</w:t>
      </w:r>
      <w:r w:rsidR="00F02598" w:rsidRPr="004618D5">
        <w:rPr>
          <w:lang w:val="fr-FR"/>
        </w:rPr>
        <w:t>  </w:t>
      </w:r>
      <w:r w:rsidRPr="004618D5">
        <w:rPr>
          <w:lang w:val="fr-FR"/>
        </w:rPr>
        <w:t>à appliquer, lorsque cela est possible et approprié, une interprétation large de la notion de « famille » et en particulier à inclure dans cette définition les membres de la famille naturelle, les concubins, y compris les partenaires du même sexe, les enfants naturels, les enfants dont la garde est partagée, les enfants majeurs à charge et les parents à charge</w:t>
      </w:r>
      <w:r w:rsidR="00764229" w:rsidRPr="004618D5">
        <w:rPr>
          <w:lang w:val="fr-FR"/>
        </w:rPr>
        <w:t> ;</w:t>
      </w:r>
    </w:p>
    <w:p w:rsidR="00E77CB3" w:rsidRPr="004618D5" w:rsidRDefault="00764229" w:rsidP="004618D5">
      <w:pPr>
        <w:pStyle w:val="ECHRParaQuote"/>
        <w:rPr>
          <w:lang w:val="fr-FR"/>
        </w:rPr>
      </w:pPr>
      <w:r w:rsidRPr="004618D5">
        <w:rPr>
          <w:lang w:val="fr-FR"/>
        </w:rPr>
        <w:t>(</w:t>
      </w:r>
      <w:r w:rsidR="00B55B33" w:rsidRPr="004618D5">
        <w:rPr>
          <w:lang w:val="fr-FR"/>
        </w:rPr>
        <w:t>...</w:t>
      </w:r>
      <w:r w:rsidRPr="004618D5">
        <w:rPr>
          <w:lang w:val="fr-FR"/>
        </w:rPr>
        <w:t>)</w:t>
      </w:r>
      <w:r w:rsidR="00B664A0" w:rsidRPr="004618D5">
        <w:rPr>
          <w:lang w:val="fr-FR"/>
        </w:rPr>
        <w:t> »</w:t>
      </w:r>
    </w:p>
    <w:p w:rsidR="00E77CB3" w:rsidRPr="004618D5" w:rsidRDefault="00E77CB3" w:rsidP="004618D5">
      <w:pPr>
        <w:pStyle w:val="ECHRTitle1"/>
        <w:rPr>
          <w:lang w:val="fr-FR"/>
        </w:rPr>
      </w:pPr>
      <w:r w:rsidRPr="004618D5">
        <w:rPr>
          <w:lang w:val="fr-FR"/>
        </w:rPr>
        <w:lastRenderedPageBreak/>
        <w:t>EN DROIT</w:t>
      </w:r>
    </w:p>
    <w:p w:rsidR="00E77CB3" w:rsidRPr="004618D5" w:rsidRDefault="00E77CB3" w:rsidP="004618D5">
      <w:pPr>
        <w:pStyle w:val="ECHRHeading1"/>
        <w:rPr>
          <w:lang w:val="fr-FR"/>
        </w:rPr>
      </w:pPr>
      <w:r w:rsidRPr="004618D5">
        <w:rPr>
          <w:lang w:val="fr-FR"/>
        </w:rPr>
        <w:t>I.  SUR LA VIOLATION ALLÉGUÉE DE L</w:t>
      </w:r>
      <w:r w:rsidR="004618D5" w:rsidRPr="004618D5">
        <w:rPr>
          <w:lang w:val="fr-FR"/>
        </w:rPr>
        <w:t>’</w:t>
      </w:r>
      <w:r w:rsidRPr="004618D5">
        <w:rPr>
          <w:lang w:val="fr-FR"/>
        </w:rPr>
        <w:t xml:space="preserve">ARTICLE </w:t>
      </w:r>
      <w:r w:rsidR="00CA2D14" w:rsidRPr="004618D5">
        <w:rPr>
          <w:lang w:val="fr-FR"/>
        </w:rPr>
        <w:t>14</w:t>
      </w:r>
      <w:r w:rsidR="00CF32CA" w:rsidRPr="004618D5">
        <w:rPr>
          <w:lang w:val="fr-FR"/>
        </w:rPr>
        <w:t xml:space="preserve"> DE LA CONVENTION</w:t>
      </w:r>
      <w:r w:rsidR="00CA2D14" w:rsidRPr="004618D5">
        <w:rPr>
          <w:lang w:val="fr-FR"/>
        </w:rPr>
        <w:t xml:space="preserve"> COMBINÉ AVEC L</w:t>
      </w:r>
      <w:r w:rsidR="004618D5" w:rsidRPr="004618D5">
        <w:rPr>
          <w:lang w:val="fr-FR"/>
        </w:rPr>
        <w:t>’</w:t>
      </w:r>
      <w:r w:rsidR="00CA2D14" w:rsidRPr="004618D5">
        <w:rPr>
          <w:lang w:val="fr-FR"/>
        </w:rPr>
        <w:t>ARTICLE 8</w:t>
      </w:r>
    </w:p>
    <w:p w:rsidR="007B7D86"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35</w:t>
      </w:r>
      <w:r w:rsidRPr="004618D5">
        <w:rPr>
          <w:lang w:val="fr-FR"/>
        </w:rPr>
        <w:fldChar w:fldCharType="end"/>
      </w:r>
      <w:r w:rsidR="00E77CB3" w:rsidRPr="004618D5">
        <w:rPr>
          <w:lang w:val="fr-FR"/>
        </w:rPr>
        <w:t>.  </w:t>
      </w:r>
      <w:r w:rsidRPr="004618D5">
        <w:rPr>
          <w:lang w:val="fr-FR"/>
        </w:rPr>
        <w:t>Les requérants</w:t>
      </w:r>
      <w:r w:rsidR="00E77CB3" w:rsidRPr="004618D5">
        <w:rPr>
          <w:lang w:val="fr-FR"/>
        </w:rPr>
        <w:t xml:space="preserve"> allègue</w:t>
      </w:r>
      <w:r w:rsidRPr="004618D5">
        <w:rPr>
          <w:lang w:val="fr-FR"/>
        </w:rPr>
        <w:t>nt</w:t>
      </w:r>
      <w:r w:rsidR="00E77CB3" w:rsidRPr="004618D5">
        <w:rPr>
          <w:lang w:val="fr-FR"/>
        </w:rPr>
        <w:t xml:space="preserve"> que </w:t>
      </w:r>
      <w:r w:rsidR="00CF32CA" w:rsidRPr="004618D5">
        <w:rPr>
          <w:lang w:val="fr-FR"/>
        </w:rPr>
        <w:t>le refus d</w:t>
      </w:r>
      <w:r w:rsidR="004618D5" w:rsidRPr="004618D5">
        <w:rPr>
          <w:lang w:val="fr-FR"/>
        </w:rPr>
        <w:t>’</w:t>
      </w:r>
      <w:r w:rsidR="00CF32CA" w:rsidRPr="004618D5">
        <w:rPr>
          <w:lang w:val="fr-FR"/>
        </w:rPr>
        <w:t xml:space="preserve">octroyer au deuxième requérant un permis de séjour </w:t>
      </w:r>
      <w:r w:rsidR="008C07D5" w:rsidRPr="004618D5">
        <w:rPr>
          <w:lang w:val="fr-FR"/>
        </w:rPr>
        <w:t>pour raison familiale</w:t>
      </w:r>
      <w:r w:rsidR="00CF32CA" w:rsidRPr="004618D5">
        <w:rPr>
          <w:lang w:val="fr-FR"/>
        </w:rPr>
        <w:t xml:space="preserve"> s</w:t>
      </w:r>
      <w:r w:rsidR="004618D5" w:rsidRPr="004618D5">
        <w:rPr>
          <w:lang w:val="fr-FR"/>
        </w:rPr>
        <w:t>’</w:t>
      </w:r>
      <w:r w:rsidR="00CF32CA" w:rsidRPr="004618D5">
        <w:rPr>
          <w:lang w:val="fr-FR"/>
        </w:rPr>
        <w:t>analyse en une discrimination fondée</w:t>
      </w:r>
      <w:r w:rsidR="00B43864" w:rsidRPr="004618D5">
        <w:rPr>
          <w:lang w:val="fr-FR"/>
        </w:rPr>
        <w:t xml:space="preserve"> sur leur orientation sexuelle.</w:t>
      </w:r>
    </w:p>
    <w:p w:rsidR="00CF32CA" w:rsidRPr="004618D5" w:rsidRDefault="00CF32CA" w:rsidP="004618D5">
      <w:pPr>
        <w:pStyle w:val="ECHRPara"/>
        <w:rPr>
          <w:lang w:val="fr-FR"/>
        </w:rPr>
      </w:pPr>
      <w:r w:rsidRPr="004618D5">
        <w:rPr>
          <w:lang w:val="fr-FR"/>
        </w:rPr>
        <w:t xml:space="preserve">Ils invoquent </w:t>
      </w:r>
      <w:r w:rsidR="00F02598" w:rsidRPr="004618D5">
        <w:rPr>
          <w:lang w:val="fr-FR"/>
        </w:rPr>
        <w:t xml:space="preserve">à cet égard </w:t>
      </w:r>
      <w:r w:rsidRPr="004618D5">
        <w:rPr>
          <w:lang w:val="fr-FR"/>
        </w:rPr>
        <w:t>l</w:t>
      </w:r>
      <w:r w:rsidR="004618D5" w:rsidRPr="004618D5">
        <w:rPr>
          <w:lang w:val="fr-FR"/>
        </w:rPr>
        <w:t>’</w:t>
      </w:r>
      <w:r w:rsidRPr="004618D5">
        <w:rPr>
          <w:lang w:val="fr-FR"/>
        </w:rPr>
        <w:t>article 14 de la Convention combiné</w:t>
      </w:r>
      <w:r w:rsidR="00E77CB3" w:rsidRPr="004618D5">
        <w:rPr>
          <w:lang w:val="fr-FR"/>
        </w:rPr>
        <w:t xml:space="preserve"> </w:t>
      </w:r>
      <w:r w:rsidRPr="004618D5">
        <w:rPr>
          <w:lang w:val="fr-FR"/>
        </w:rPr>
        <w:t>avec l</w:t>
      </w:r>
      <w:r w:rsidR="004618D5" w:rsidRPr="004618D5">
        <w:rPr>
          <w:lang w:val="fr-FR"/>
        </w:rPr>
        <w:t>’</w:t>
      </w:r>
      <w:r w:rsidRPr="004618D5">
        <w:rPr>
          <w:lang w:val="fr-FR"/>
        </w:rPr>
        <w:t>article 8 de celle-ci.</w:t>
      </w:r>
    </w:p>
    <w:p w:rsidR="00764229" w:rsidRPr="004618D5" w:rsidRDefault="00CF32CA" w:rsidP="004618D5">
      <w:pPr>
        <w:pStyle w:val="ECHRPara"/>
        <w:rPr>
          <w:lang w:val="fr-FR"/>
        </w:rPr>
      </w:pPr>
      <w:r w:rsidRPr="004618D5">
        <w:rPr>
          <w:lang w:val="fr-FR"/>
        </w:rPr>
        <w:t>Ces dispositions se lisent comme suit :</w:t>
      </w:r>
    </w:p>
    <w:p w:rsidR="00CF32CA" w:rsidRPr="004618D5" w:rsidRDefault="00CF32CA" w:rsidP="004618D5">
      <w:pPr>
        <w:pStyle w:val="ECHRTitleCentre3"/>
        <w:rPr>
          <w:lang w:val="fr-FR"/>
        </w:rPr>
      </w:pPr>
      <w:r w:rsidRPr="004618D5">
        <w:rPr>
          <w:lang w:val="fr-FR"/>
        </w:rPr>
        <w:t>Article 14</w:t>
      </w:r>
    </w:p>
    <w:p w:rsidR="00CF32CA" w:rsidRPr="004618D5" w:rsidRDefault="00CF32CA" w:rsidP="004618D5">
      <w:pPr>
        <w:pStyle w:val="ECHRParaQuote"/>
        <w:rPr>
          <w:lang w:val="fr-FR"/>
        </w:rPr>
      </w:pPr>
      <w:r w:rsidRPr="004618D5">
        <w:rPr>
          <w:lang w:val="fr-FR"/>
        </w:rPr>
        <w:t>« La jouissance des droits et libertés reconnus dans la (...) Convention doit être assurée, sans distinction aucune, fondée notamment sur le sexe, la race, la couleur, la langue, la religion, les opinions politiques ou toutes autres opinions, l</w:t>
      </w:r>
      <w:r w:rsidR="004618D5" w:rsidRPr="004618D5">
        <w:rPr>
          <w:lang w:val="fr-FR"/>
        </w:rPr>
        <w:t>’</w:t>
      </w:r>
      <w:r w:rsidRPr="004618D5">
        <w:rPr>
          <w:lang w:val="fr-FR"/>
        </w:rPr>
        <w:t>origine nationale ou sociale, l</w:t>
      </w:r>
      <w:r w:rsidR="004618D5" w:rsidRPr="004618D5">
        <w:rPr>
          <w:lang w:val="fr-FR"/>
        </w:rPr>
        <w:t>’</w:t>
      </w:r>
      <w:r w:rsidRPr="004618D5">
        <w:rPr>
          <w:lang w:val="fr-FR"/>
        </w:rPr>
        <w:t>appartenance à une minorité nationale, la fortune, la naissa</w:t>
      </w:r>
      <w:r w:rsidR="002F094E" w:rsidRPr="004618D5">
        <w:rPr>
          <w:lang w:val="fr-FR"/>
        </w:rPr>
        <w:t>nce ou toute autre situation. »</w:t>
      </w:r>
    </w:p>
    <w:p w:rsidR="00CF32CA" w:rsidRPr="004618D5" w:rsidRDefault="00CF32CA" w:rsidP="004618D5">
      <w:pPr>
        <w:pStyle w:val="ECHRTitleCentre3"/>
        <w:rPr>
          <w:lang w:val="fr-FR"/>
        </w:rPr>
      </w:pPr>
      <w:r w:rsidRPr="004618D5">
        <w:rPr>
          <w:lang w:val="fr-FR"/>
        </w:rPr>
        <w:t>Article 8</w:t>
      </w:r>
    </w:p>
    <w:p w:rsidR="00CF32CA" w:rsidRPr="004618D5" w:rsidRDefault="00CF32CA" w:rsidP="004618D5">
      <w:pPr>
        <w:pStyle w:val="ECHRParaQuote"/>
        <w:rPr>
          <w:lang w:val="fr-FR"/>
        </w:rPr>
      </w:pPr>
      <w:r w:rsidRPr="004618D5">
        <w:rPr>
          <w:lang w:val="fr-FR"/>
        </w:rPr>
        <w:t>« 1.  Toute personne a droit au respect de sa vie privée et familiale, de son domicile et de sa correspondance.</w:t>
      </w:r>
    </w:p>
    <w:p w:rsidR="00E77CB3" w:rsidRPr="004618D5" w:rsidRDefault="00CF32CA" w:rsidP="004618D5">
      <w:pPr>
        <w:pStyle w:val="ECHRParaQuote"/>
        <w:rPr>
          <w:lang w:val="fr-FR"/>
        </w:rPr>
      </w:pPr>
      <w:r w:rsidRPr="004618D5">
        <w:rPr>
          <w:lang w:val="fr-FR"/>
        </w:rPr>
        <w:t>2.  Il ne peut y avoir ingérence d</w:t>
      </w:r>
      <w:r w:rsidR="004618D5" w:rsidRPr="004618D5">
        <w:rPr>
          <w:lang w:val="fr-FR"/>
        </w:rPr>
        <w:t>’</w:t>
      </w:r>
      <w:r w:rsidRPr="004618D5">
        <w:rPr>
          <w:lang w:val="fr-FR"/>
        </w:rPr>
        <w:t>une autorité publique dans l</w:t>
      </w:r>
      <w:r w:rsidR="004618D5" w:rsidRPr="004618D5">
        <w:rPr>
          <w:lang w:val="fr-FR"/>
        </w:rPr>
        <w:t>’</w:t>
      </w:r>
      <w:r w:rsidRPr="004618D5">
        <w:rPr>
          <w:lang w:val="fr-FR"/>
        </w:rPr>
        <w:t>exercice de ce droit que pour autant que cette ingérence est prévue par la loi et qu</w:t>
      </w:r>
      <w:r w:rsidR="004618D5" w:rsidRPr="004618D5">
        <w:rPr>
          <w:lang w:val="fr-FR"/>
        </w:rPr>
        <w:t>’</w:t>
      </w:r>
      <w:r w:rsidRPr="004618D5">
        <w:rPr>
          <w:lang w:val="fr-FR"/>
        </w:rPr>
        <w:t>elle constitue une mesure qui, dans une société démocratique, est nécessaire à la sécurité nationale, à la sûreté publique, au bien</w:t>
      </w:r>
      <w:r w:rsidRPr="004618D5">
        <w:rPr>
          <w:lang w:val="fr-FR"/>
        </w:rPr>
        <w:noBreakHyphen/>
        <w:t>être économique du pays, à la défense de l</w:t>
      </w:r>
      <w:r w:rsidR="004618D5" w:rsidRPr="004618D5">
        <w:rPr>
          <w:lang w:val="fr-FR"/>
        </w:rPr>
        <w:t>’</w:t>
      </w:r>
      <w:r w:rsidRPr="004618D5">
        <w:rPr>
          <w:lang w:val="fr-FR"/>
        </w:rPr>
        <w:t>ordre et à la prévention des infractions pénales, à la protection de la santé ou de la morale, ou à la protection des droits et libertés d</w:t>
      </w:r>
      <w:r w:rsidR="004618D5" w:rsidRPr="004618D5">
        <w:rPr>
          <w:lang w:val="fr-FR"/>
        </w:rPr>
        <w:t>’</w:t>
      </w:r>
      <w:r w:rsidRPr="004618D5">
        <w:rPr>
          <w:lang w:val="fr-FR"/>
        </w:rPr>
        <w:t>autrui. »</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36</w:t>
      </w:r>
      <w:r w:rsidRPr="004618D5">
        <w:rPr>
          <w:lang w:val="fr-FR"/>
        </w:rPr>
        <w:fldChar w:fldCharType="end"/>
      </w:r>
      <w:r w:rsidR="00E77CB3" w:rsidRPr="004618D5">
        <w:rPr>
          <w:lang w:val="fr-FR"/>
        </w:rPr>
        <w:t xml:space="preserve">.  Le Gouvernement </w:t>
      </w:r>
      <w:r w:rsidR="006A002F" w:rsidRPr="004618D5">
        <w:rPr>
          <w:lang w:val="fr-FR"/>
        </w:rPr>
        <w:t>combat</w:t>
      </w:r>
      <w:r w:rsidR="007B7D86" w:rsidRPr="004618D5">
        <w:rPr>
          <w:lang w:val="fr-FR"/>
        </w:rPr>
        <w:t xml:space="preserve"> </w:t>
      </w:r>
      <w:r w:rsidR="00F02598" w:rsidRPr="004618D5">
        <w:rPr>
          <w:lang w:val="fr-FR"/>
        </w:rPr>
        <w:t>la</w:t>
      </w:r>
      <w:r w:rsidR="007B7D86" w:rsidRPr="004618D5">
        <w:rPr>
          <w:lang w:val="fr-FR"/>
        </w:rPr>
        <w:t xml:space="preserve"> thèse</w:t>
      </w:r>
      <w:r w:rsidR="00F02598" w:rsidRPr="004618D5">
        <w:rPr>
          <w:lang w:val="fr-FR"/>
        </w:rPr>
        <w:t xml:space="preserve"> des requérants</w:t>
      </w:r>
      <w:r w:rsidR="00E77CB3" w:rsidRPr="004618D5">
        <w:rPr>
          <w:lang w:val="fr-FR"/>
        </w:rPr>
        <w:t>.</w:t>
      </w:r>
    </w:p>
    <w:p w:rsidR="00E77CB3" w:rsidRPr="004618D5" w:rsidRDefault="00E77CB3" w:rsidP="004618D5">
      <w:pPr>
        <w:pStyle w:val="ECHRHeading2"/>
        <w:rPr>
          <w:lang w:val="fr-FR"/>
        </w:rPr>
      </w:pPr>
      <w:r w:rsidRPr="004618D5">
        <w:rPr>
          <w:lang w:val="fr-FR"/>
        </w:rPr>
        <w:t>A.  Sur la recevabilité</w:t>
      </w:r>
    </w:p>
    <w:p w:rsidR="007B7D86" w:rsidRPr="004618D5" w:rsidRDefault="007B7D86" w:rsidP="004618D5">
      <w:pPr>
        <w:pStyle w:val="ECHRHeading3"/>
        <w:rPr>
          <w:lang w:val="fr-FR"/>
        </w:rPr>
      </w:pPr>
      <w:r w:rsidRPr="004618D5">
        <w:rPr>
          <w:lang w:val="fr-FR"/>
        </w:rPr>
        <w:t>1.  </w:t>
      </w:r>
      <w:r w:rsidR="0039161B" w:rsidRPr="004618D5">
        <w:rPr>
          <w:lang w:val="fr-FR"/>
        </w:rPr>
        <w:t>E</w:t>
      </w:r>
      <w:r w:rsidRPr="004618D5">
        <w:rPr>
          <w:lang w:val="fr-FR"/>
        </w:rPr>
        <w:t>xception du Gouvernement tirée de la tardiveté de la requête</w:t>
      </w:r>
    </w:p>
    <w:p w:rsidR="007B7D86" w:rsidRPr="004618D5" w:rsidRDefault="007B7D86" w:rsidP="004618D5">
      <w:pPr>
        <w:pStyle w:val="ECHRHeading4"/>
        <w:rPr>
          <w:lang w:val="fr-FR"/>
        </w:rPr>
      </w:pPr>
      <w:r w:rsidRPr="004618D5">
        <w:rPr>
          <w:lang w:val="fr-FR"/>
        </w:rPr>
        <w:t>a)  Exception du Gouvernement</w:t>
      </w:r>
    </w:p>
    <w:p w:rsidR="00586C8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37</w:t>
      </w:r>
      <w:r w:rsidRPr="004618D5">
        <w:rPr>
          <w:lang w:val="fr-FR"/>
        </w:rPr>
        <w:fldChar w:fldCharType="end"/>
      </w:r>
      <w:r w:rsidR="00E77CB3" w:rsidRPr="004618D5">
        <w:rPr>
          <w:lang w:val="fr-FR"/>
        </w:rPr>
        <w:t>.  </w:t>
      </w:r>
      <w:r w:rsidR="00586C83" w:rsidRPr="004618D5">
        <w:rPr>
          <w:lang w:val="fr-FR"/>
        </w:rPr>
        <w:t>Le Gouvernement excipe</w:t>
      </w:r>
      <w:r w:rsidR="00764229" w:rsidRPr="004618D5">
        <w:rPr>
          <w:lang w:val="fr-FR"/>
        </w:rPr>
        <w:t xml:space="preserve"> tout d</w:t>
      </w:r>
      <w:r w:rsidR="004618D5" w:rsidRPr="004618D5">
        <w:rPr>
          <w:lang w:val="fr-FR"/>
        </w:rPr>
        <w:t>’</w:t>
      </w:r>
      <w:r w:rsidR="00764229" w:rsidRPr="004618D5">
        <w:rPr>
          <w:lang w:val="fr-FR"/>
        </w:rPr>
        <w:t>abord</w:t>
      </w:r>
      <w:r w:rsidR="00586C83" w:rsidRPr="004618D5">
        <w:rPr>
          <w:lang w:val="fr-FR"/>
        </w:rPr>
        <w:t xml:space="preserve"> de la tardiveté de la requête. Il </w:t>
      </w:r>
      <w:r w:rsidR="0039161B" w:rsidRPr="004618D5">
        <w:rPr>
          <w:lang w:val="fr-FR"/>
        </w:rPr>
        <w:t xml:space="preserve">indique </w:t>
      </w:r>
      <w:r w:rsidR="00586C83" w:rsidRPr="004618D5">
        <w:rPr>
          <w:lang w:val="fr-FR"/>
        </w:rPr>
        <w:t>que la décision interne définitive est l</w:t>
      </w:r>
      <w:r w:rsidR="004618D5" w:rsidRPr="004618D5">
        <w:rPr>
          <w:lang w:val="fr-FR"/>
        </w:rPr>
        <w:t>’</w:t>
      </w:r>
      <w:r w:rsidR="00586C83" w:rsidRPr="004618D5">
        <w:rPr>
          <w:lang w:val="fr-FR"/>
        </w:rPr>
        <w:t xml:space="preserve">arrêt de la Cour de cassation du 30 septembre 2008, dont le texte </w:t>
      </w:r>
      <w:r w:rsidR="008C07D5" w:rsidRPr="004618D5">
        <w:rPr>
          <w:lang w:val="fr-FR"/>
        </w:rPr>
        <w:t>aurait</w:t>
      </w:r>
      <w:r w:rsidR="00586C83" w:rsidRPr="004618D5">
        <w:rPr>
          <w:lang w:val="fr-FR"/>
        </w:rPr>
        <w:t xml:space="preserve"> été déposé au greffe le 17</w:t>
      </w:r>
      <w:r w:rsidR="00B96F93" w:rsidRPr="004618D5">
        <w:rPr>
          <w:lang w:val="fr-FR"/>
        </w:rPr>
        <w:t> </w:t>
      </w:r>
      <w:r w:rsidR="00586C83" w:rsidRPr="004618D5">
        <w:rPr>
          <w:lang w:val="fr-FR"/>
        </w:rPr>
        <w:t xml:space="preserve">mars 2009 (paragraphe </w:t>
      </w:r>
      <w:r w:rsidR="003C71B5" w:rsidRPr="004618D5">
        <w:rPr>
          <w:lang w:val="fr-FR"/>
        </w:rPr>
        <w:t>20</w:t>
      </w:r>
      <w:r w:rsidR="00586C83" w:rsidRPr="004618D5">
        <w:rPr>
          <w:lang w:val="fr-FR"/>
        </w:rPr>
        <w:t xml:space="preserve"> ci-dessus). Or</w:t>
      </w:r>
      <w:r w:rsidR="006A002F" w:rsidRPr="004618D5">
        <w:rPr>
          <w:lang w:val="fr-FR"/>
        </w:rPr>
        <w:t>, selon lui,</w:t>
      </w:r>
      <w:r w:rsidR="00586C83" w:rsidRPr="004618D5">
        <w:rPr>
          <w:lang w:val="fr-FR"/>
        </w:rPr>
        <w:t xml:space="preserve"> les requérants ont pour la première fois exposé l</w:t>
      </w:r>
      <w:r w:rsidR="004618D5" w:rsidRPr="004618D5">
        <w:rPr>
          <w:lang w:val="fr-FR"/>
        </w:rPr>
        <w:t>’</w:t>
      </w:r>
      <w:r w:rsidR="00586C83" w:rsidRPr="004618D5">
        <w:rPr>
          <w:lang w:val="fr-FR"/>
        </w:rPr>
        <w:t>objet de leur requête dans une lettre datée du 15</w:t>
      </w:r>
      <w:r w:rsidR="00964429" w:rsidRPr="004618D5">
        <w:rPr>
          <w:lang w:val="fr-FR"/>
        </w:rPr>
        <w:t> </w:t>
      </w:r>
      <w:r w:rsidR="00586C83" w:rsidRPr="004618D5">
        <w:rPr>
          <w:lang w:val="fr-FR"/>
        </w:rPr>
        <w:t xml:space="preserve">septembre 2009, qui </w:t>
      </w:r>
      <w:r w:rsidR="0039161B" w:rsidRPr="004618D5">
        <w:rPr>
          <w:lang w:val="fr-FR"/>
        </w:rPr>
        <w:t xml:space="preserve">ne serait </w:t>
      </w:r>
      <w:r w:rsidR="00586C83" w:rsidRPr="004618D5">
        <w:rPr>
          <w:lang w:val="fr-FR"/>
        </w:rPr>
        <w:t>cependant parvenue au greffe de la Cour</w:t>
      </w:r>
      <w:r w:rsidR="009B5061" w:rsidRPr="004618D5">
        <w:rPr>
          <w:lang w:val="fr-FR"/>
        </w:rPr>
        <w:t xml:space="preserve"> que le 21</w:t>
      </w:r>
      <w:r w:rsidR="00EE09BC" w:rsidRPr="004618D5">
        <w:rPr>
          <w:lang w:val="fr-FR"/>
        </w:rPr>
        <w:t> </w:t>
      </w:r>
      <w:r w:rsidR="009B5061" w:rsidRPr="004618D5">
        <w:rPr>
          <w:lang w:val="fr-FR"/>
        </w:rPr>
        <w:t>septembre</w:t>
      </w:r>
      <w:r w:rsidR="004618D5" w:rsidRPr="004618D5">
        <w:rPr>
          <w:lang w:val="fr-FR"/>
        </w:rPr>
        <w:t xml:space="preserve"> </w:t>
      </w:r>
      <w:r w:rsidR="009B5061" w:rsidRPr="004618D5">
        <w:rPr>
          <w:lang w:val="fr-FR"/>
        </w:rPr>
        <w:t>2009, c</w:t>
      </w:r>
      <w:r w:rsidR="004618D5" w:rsidRPr="004618D5">
        <w:rPr>
          <w:lang w:val="fr-FR"/>
        </w:rPr>
        <w:t>’</w:t>
      </w:r>
      <w:r w:rsidR="009B5061" w:rsidRPr="004618D5">
        <w:rPr>
          <w:lang w:val="fr-FR"/>
        </w:rPr>
        <w:t xml:space="preserve">est-à-dire </w:t>
      </w:r>
      <w:r w:rsidR="00586C83" w:rsidRPr="004618D5">
        <w:rPr>
          <w:lang w:val="fr-FR"/>
        </w:rPr>
        <w:t>après l</w:t>
      </w:r>
      <w:r w:rsidR="004618D5" w:rsidRPr="004618D5">
        <w:rPr>
          <w:lang w:val="fr-FR"/>
        </w:rPr>
        <w:t>’</w:t>
      </w:r>
      <w:r w:rsidR="00586C83" w:rsidRPr="004618D5">
        <w:rPr>
          <w:lang w:val="fr-FR"/>
        </w:rPr>
        <w:t>expiration du délai de six mois prévu à l</w:t>
      </w:r>
      <w:r w:rsidR="004618D5" w:rsidRPr="004618D5">
        <w:rPr>
          <w:lang w:val="fr-FR"/>
        </w:rPr>
        <w:t>’</w:t>
      </w:r>
      <w:r w:rsidR="00586C83" w:rsidRPr="004618D5">
        <w:rPr>
          <w:lang w:val="fr-FR"/>
        </w:rPr>
        <w:t xml:space="preserve">article 35 § 1 de la Convention. </w:t>
      </w:r>
      <w:r w:rsidR="008C07D5" w:rsidRPr="004618D5">
        <w:rPr>
          <w:lang w:val="fr-FR"/>
        </w:rPr>
        <w:t>Le Gouvernement</w:t>
      </w:r>
      <w:r w:rsidR="006A002F" w:rsidRPr="004618D5">
        <w:rPr>
          <w:lang w:val="fr-FR"/>
        </w:rPr>
        <w:t xml:space="preserve"> ajoute que, d</w:t>
      </w:r>
      <w:r w:rsidR="00586C83" w:rsidRPr="004618D5">
        <w:rPr>
          <w:lang w:val="fr-FR"/>
        </w:rPr>
        <w:t>e plus, le formulaire de requête dûment complété,</w:t>
      </w:r>
      <w:r w:rsidR="0039161B" w:rsidRPr="004618D5">
        <w:rPr>
          <w:lang w:val="fr-FR"/>
        </w:rPr>
        <w:t xml:space="preserve"> qui serait</w:t>
      </w:r>
      <w:r w:rsidR="00586C83" w:rsidRPr="004618D5">
        <w:rPr>
          <w:lang w:val="fr-FR"/>
        </w:rPr>
        <w:t xml:space="preserve"> daté du </w:t>
      </w:r>
      <w:r w:rsidR="00586C83" w:rsidRPr="004618D5">
        <w:rPr>
          <w:lang w:val="fr-FR"/>
        </w:rPr>
        <w:lastRenderedPageBreak/>
        <w:t>26</w:t>
      </w:r>
      <w:r w:rsidR="00964429" w:rsidRPr="004618D5">
        <w:rPr>
          <w:lang w:val="fr-FR"/>
        </w:rPr>
        <w:t> </w:t>
      </w:r>
      <w:r w:rsidR="00586C83" w:rsidRPr="004618D5">
        <w:rPr>
          <w:lang w:val="fr-FR"/>
        </w:rPr>
        <w:t>novembre 2009, n</w:t>
      </w:r>
      <w:r w:rsidR="004618D5" w:rsidRPr="004618D5">
        <w:rPr>
          <w:lang w:val="fr-FR"/>
        </w:rPr>
        <w:t>’</w:t>
      </w:r>
      <w:r w:rsidR="00586C83" w:rsidRPr="004618D5">
        <w:rPr>
          <w:lang w:val="fr-FR"/>
        </w:rPr>
        <w:t>a été déposé à l</w:t>
      </w:r>
      <w:r w:rsidR="004618D5" w:rsidRPr="004618D5">
        <w:rPr>
          <w:lang w:val="fr-FR"/>
        </w:rPr>
        <w:t>’</w:t>
      </w:r>
      <w:r w:rsidR="00586C83" w:rsidRPr="004618D5">
        <w:rPr>
          <w:lang w:val="fr-FR"/>
        </w:rPr>
        <w:t xml:space="preserve">accueil de la Cour que le 30 novembre 2009. </w:t>
      </w:r>
      <w:r w:rsidR="0039161B" w:rsidRPr="004618D5">
        <w:rPr>
          <w:lang w:val="fr-FR"/>
        </w:rPr>
        <w:t>Dès lors, aux yeux du Gouvernement, les requérants n</w:t>
      </w:r>
      <w:r w:rsidR="004618D5" w:rsidRPr="004618D5">
        <w:rPr>
          <w:lang w:val="fr-FR"/>
        </w:rPr>
        <w:t>’</w:t>
      </w:r>
      <w:r w:rsidR="0039161B" w:rsidRPr="004618D5">
        <w:rPr>
          <w:lang w:val="fr-FR"/>
        </w:rPr>
        <w:t>ont pas respecté le</w:t>
      </w:r>
      <w:r w:rsidR="00586C83" w:rsidRPr="004618D5">
        <w:rPr>
          <w:lang w:val="fr-FR"/>
        </w:rPr>
        <w:t xml:space="preserve"> délai de huit semaines </w:t>
      </w:r>
      <w:r w:rsidR="0039161B" w:rsidRPr="004618D5">
        <w:rPr>
          <w:lang w:val="fr-FR"/>
        </w:rPr>
        <w:t xml:space="preserve">qui leur aurait été </w:t>
      </w:r>
      <w:r w:rsidR="00586C83" w:rsidRPr="004618D5">
        <w:rPr>
          <w:lang w:val="fr-FR"/>
        </w:rPr>
        <w:t>imparti pour présenter ledit formulaire.</w:t>
      </w:r>
    </w:p>
    <w:p w:rsidR="007B7D86" w:rsidRPr="004618D5" w:rsidRDefault="007B7D86" w:rsidP="004618D5">
      <w:pPr>
        <w:pStyle w:val="ECHRHeading4"/>
        <w:rPr>
          <w:lang w:val="fr-FR"/>
        </w:rPr>
      </w:pPr>
      <w:r w:rsidRPr="004618D5">
        <w:rPr>
          <w:lang w:val="fr-FR"/>
        </w:rPr>
        <w:t>b)  Réplique des requérants</w:t>
      </w:r>
    </w:p>
    <w:p w:rsidR="00586C83" w:rsidRPr="004618D5" w:rsidRDefault="00310392"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38</w:t>
      </w:r>
      <w:r w:rsidRPr="004618D5">
        <w:rPr>
          <w:lang w:val="fr-FR"/>
        </w:rPr>
        <w:fldChar w:fldCharType="end"/>
      </w:r>
      <w:r w:rsidRPr="004618D5">
        <w:rPr>
          <w:lang w:val="fr-FR"/>
        </w:rPr>
        <w:t>.  Les requérants demandent à la Cour d</w:t>
      </w:r>
      <w:r w:rsidR="00152182" w:rsidRPr="004618D5">
        <w:rPr>
          <w:lang w:val="fr-FR"/>
        </w:rPr>
        <w:t>e rejeter</w:t>
      </w:r>
      <w:r w:rsidRPr="004618D5">
        <w:rPr>
          <w:lang w:val="fr-FR"/>
        </w:rPr>
        <w:t xml:space="preserve"> l</w:t>
      </w:r>
      <w:r w:rsidR="004618D5" w:rsidRPr="004618D5">
        <w:rPr>
          <w:lang w:val="fr-FR"/>
        </w:rPr>
        <w:t>’</w:t>
      </w:r>
      <w:r w:rsidRPr="004618D5">
        <w:rPr>
          <w:lang w:val="fr-FR"/>
        </w:rPr>
        <w:t>exception du Gouvernement.</w:t>
      </w:r>
      <w:r w:rsidR="00152182" w:rsidRPr="004618D5">
        <w:rPr>
          <w:lang w:val="fr-FR"/>
        </w:rPr>
        <w:t xml:space="preserve"> Ils </w:t>
      </w:r>
      <w:r w:rsidR="00EE09BC" w:rsidRPr="004618D5">
        <w:rPr>
          <w:lang w:val="fr-FR"/>
        </w:rPr>
        <w:t xml:space="preserve">déclarent </w:t>
      </w:r>
      <w:r w:rsidR="00152182" w:rsidRPr="004618D5">
        <w:rPr>
          <w:lang w:val="fr-FR"/>
        </w:rPr>
        <w:t xml:space="preserve">que leur première communication </w:t>
      </w:r>
      <w:r w:rsidR="00764229" w:rsidRPr="004618D5">
        <w:rPr>
          <w:lang w:val="fr-FR"/>
        </w:rPr>
        <w:t>à la Cour</w:t>
      </w:r>
      <w:r w:rsidR="00152182" w:rsidRPr="004618D5">
        <w:rPr>
          <w:lang w:val="fr-FR"/>
        </w:rPr>
        <w:t xml:space="preserve"> a été envoyée par fax le 15 septembre 2009 et que le formulaire de requête a été faxé au greffe de la Cour le 26 novembre 2009.</w:t>
      </w:r>
    </w:p>
    <w:p w:rsidR="007B7D86" w:rsidRPr="004618D5" w:rsidRDefault="007B7D86" w:rsidP="004618D5">
      <w:pPr>
        <w:pStyle w:val="ECHRHeading4"/>
        <w:rPr>
          <w:lang w:val="fr-FR"/>
        </w:rPr>
      </w:pPr>
      <w:r w:rsidRPr="004618D5">
        <w:rPr>
          <w:lang w:val="fr-FR"/>
        </w:rPr>
        <w:t>c)  Appréciation de la Cour</w:t>
      </w:r>
    </w:p>
    <w:p w:rsidR="00310392" w:rsidRPr="004618D5" w:rsidRDefault="00586C83"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39</w:t>
      </w:r>
      <w:r w:rsidRPr="004618D5">
        <w:rPr>
          <w:lang w:val="fr-FR"/>
        </w:rPr>
        <w:fldChar w:fldCharType="end"/>
      </w:r>
      <w:r w:rsidRPr="004618D5">
        <w:rPr>
          <w:lang w:val="fr-FR"/>
        </w:rPr>
        <w:t xml:space="preserve">.  La Cour observe que la lettre </w:t>
      </w:r>
      <w:r w:rsidR="00EE09BC" w:rsidRPr="004618D5">
        <w:rPr>
          <w:lang w:val="fr-FR"/>
        </w:rPr>
        <w:t xml:space="preserve">datée </w:t>
      </w:r>
      <w:r w:rsidRPr="004618D5">
        <w:rPr>
          <w:lang w:val="fr-FR"/>
        </w:rPr>
        <w:t xml:space="preserve">du 15 septembre 2009 a été </w:t>
      </w:r>
      <w:r w:rsidR="00EE09BC" w:rsidRPr="004618D5">
        <w:rPr>
          <w:lang w:val="fr-FR"/>
        </w:rPr>
        <w:t>précédée</w:t>
      </w:r>
      <w:r w:rsidR="00764229" w:rsidRPr="004618D5">
        <w:rPr>
          <w:lang w:val="fr-FR"/>
        </w:rPr>
        <w:t xml:space="preserve"> </w:t>
      </w:r>
      <w:r w:rsidR="00EE09BC" w:rsidRPr="004618D5">
        <w:rPr>
          <w:lang w:val="fr-FR"/>
        </w:rPr>
        <w:t>d</w:t>
      </w:r>
      <w:r w:rsidR="004618D5" w:rsidRPr="004618D5">
        <w:rPr>
          <w:lang w:val="fr-FR"/>
        </w:rPr>
        <w:t>’</w:t>
      </w:r>
      <w:r w:rsidR="00764229" w:rsidRPr="004618D5">
        <w:rPr>
          <w:lang w:val="fr-FR"/>
        </w:rPr>
        <w:t>un</w:t>
      </w:r>
      <w:r w:rsidRPr="004618D5">
        <w:rPr>
          <w:lang w:val="fr-FR"/>
        </w:rPr>
        <w:t xml:space="preserve"> fax, parvenu au greffe le même</w:t>
      </w:r>
      <w:r w:rsidR="00394C85" w:rsidRPr="004618D5">
        <w:rPr>
          <w:lang w:val="fr-FR"/>
        </w:rPr>
        <w:t xml:space="preserve"> jour</w:t>
      </w:r>
      <w:r w:rsidRPr="004618D5">
        <w:rPr>
          <w:lang w:val="fr-FR"/>
        </w:rPr>
        <w:t xml:space="preserve">. La première communication des requérants exposant, </w:t>
      </w:r>
      <w:r w:rsidR="00394C85" w:rsidRPr="004618D5">
        <w:rPr>
          <w:lang w:val="fr-FR"/>
        </w:rPr>
        <w:t xml:space="preserve">fût-ce </w:t>
      </w:r>
      <w:r w:rsidRPr="004618D5">
        <w:rPr>
          <w:lang w:val="fr-FR"/>
        </w:rPr>
        <w:t>sommairement, l</w:t>
      </w:r>
      <w:r w:rsidR="004618D5" w:rsidRPr="004618D5">
        <w:rPr>
          <w:lang w:val="fr-FR"/>
        </w:rPr>
        <w:t>’</w:t>
      </w:r>
      <w:r w:rsidRPr="004618D5">
        <w:rPr>
          <w:lang w:val="fr-FR"/>
        </w:rPr>
        <w:t>objet de leur requ</w:t>
      </w:r>
      <w:r w:rsidR="00310392" w:rsidRPr="004618D5">
        <w:rPr>
          <w:lang w:val="fr-FR"/>
        </w:rPr>
        <w:t>ê</w:t>
      </w:r>
      <w:r w:rsidRPr="004618D5">
        <w:rPr>
          <w:lang w:val="fr-FR"/>
        </w:rPr>
        <w:t xml:space="preserve">te est </w:t>
      </w:r>
      <w:r w:rsidR="00764229" w:rsidRPr="004618D5">
        <w:rPr>
          <w:lang w:val="fr-FR"/>
        </w:rPr>
        <w:t>donc</w:t>
      </w:r>
      <w:r w:rsidRPr="004618D5">
        <w:rPr>
          <w:lang w:val="fr-FR"/>
        </w:rPr>
        <w:t xml:space="preserve"> p</w:t>
      </w:r>
      <w:r w:rsidR="00310392" w:rsidRPr="004618D5">
        <w:rPr>
          <w:lang w:val="fr-FR"/>
        </w:rPr>
        <w:t>arvenue à la Cour avant l</w:t>
      </w:r>
      <w:r w:rsidR="004618D5" w:rsidRPr="004618D5">
        <w:rPr>
          <w:lang w:val="fr-FR"/>
        </w:rPr>
        <w:t>’</w:t>
      </w:r>
      <w:r w:rsidR="00310392" w:rsidRPr="004618D5">
        <w:rPr>
          <w:lang w:val="fr-FR"/>
        </w:rPr>
        <w:t>expiration du délai de six</w:t>
      </w:r>
      <w:r w:rsidR="00B362B9" w:rsidRPr="004618D5">
        <w:rPr>
          <w:lang w:val="fr-FR"/>
        </w:rPr>
        <w:t> </w:t>
      </w:r>
      <w:r w:rsidR="00310392" w:rsidRPr="004618D5">
        <w:rPr>
          <w:lang w:val="fr-FR"/>
        </w:rPr>
        <w:t>mois prévu à l</w:t>
      </w:r>
      <w:r w:rsidR="004618D5" w:rsidRPr="004618D5">
        <w:rPr>
          <w:lang w:val="fr-FR"/>
        </w:rPr>
        <w:t>’</w:t>
      </w:r>
      <w:r w:rsidR="00310392" w:rsidRPr="004618D5">
        <w:rPr>
          <w:lang w:val="fr-FR"/>
        </w:rPr>
        <w:t>article</w:t>
      </w:r>
      <w:r w:rsidR="00B43864" w:rsidRPr="004618D5">
        <w:rPr>
          <w:lang w:val="fr-FR"/>
        </w:rPr>
        <w:t xml:space="preserve"> </w:t>
      </w:r>
      <w:r w:rsidR="00310392" w:rsidRPr="004618D5">
        <w:rPr>
          <w:lang w:val="fr-FR"/>
        </w:rPr>
        <w:t>35 § 1 de la Convention. La Cour relève ensuite que</w:t>
      </w:r>
      <w:r w:rsidR="00394C85" w:rsidRPr="004618D5">
        <w:rPr>
          <w:lang w:val="fr-FR"/>
        </w:rPr>
        <w:t>,</w:t>
      </w:r>
      <w:r w:rsidR="00310392" w:rsidRPr="004618D5">
        <w:rPr>
          <w:lang w:val="fr-FR"/>
        </w:rPr>
        <w:t xml:space="preserve"> dans une lettre du 1</w:t>
      </w:r>
      <w:r w:rsidR="00310392" w:rsidRPr="004618D5">
        <w:rPr>
          <w:vertAlign w:val="superscript"/>
          <w:lang w:val="fr-FR"/>
        </w:rPr>
        <w:t>er</w:t>
      </w:r>
      <w:r w:rsidR="00310392" w:rsidRPr="004618D5">
        <w:rPr>
          <w:lang w:val="fr-FR"/>
        </w:rPr>
        <w:t xml:space="preserve"> octobre 2009, le greffe avait invité les requérants à soumettre leur formulaire de requête </w:t>
      </w:r>
      <w:r w:rsidR="008A7F5A" w:rsidRPr="004618D5">
        <w:rPr>
          <w:lang w:val="fr-FR"/>
        </w:rPr>
        <w:t>avant</w:t>
      </w:r>
      <w:r w:rsidR="00310392" w:rsidRPr="004618D5">
        <w:rPr>
          <w:lang w:val="fr-FR"/>
        </w:rPr>
        <w:t xml:space="preserve"> le 26 novembre 2009, les informant que le non-respect de </w:t>
      </w:r>
      <w:r w:rsidR="0030282F" w:rsidRPr="004618D5">
        <w:rPr>
          <w:lang w:val="fr-FR"/>
        </w:rPr>
        <w:t>la date butoir</w:t>
      </w:r>
      <w:r w:rsidR="00726A8D" w:rsidRPr="004618D5">
        <w:rPr>
          <w:lang w:val="fr-FR"/>
        </w:rPr>
        <w:t xml:space="preserve"> </w:t>
      </w:r>
      <w:r w:rsidR="0030282F" w:rsidRPr="004618D5">
        <w:rPr>
          <w:lang w:val="fr-FR"/>
        </w:rPr>
        <w:t>risquait d</w:t>
      </w:r>
      <w:r w:rsidR="004618D5" w:rsidRPr="004618D5">
        <w:rPr>
          <w:lang w:val="fr-FR"/>
        </w:rPr>
        <w:t>’</w:t>
      </w:r>
      <w:r w:rsidR="0030282F" w:rsidRPr="004618D5">
        <w:rPr>
          <w:lang w:val="fr-FR"/>
        </w:rPr>
        <w:t>avoir pour effet que c</w:t>
      </w:r>
      <w:r w:rsidR="004618D5" w:rsidRPr="004618D5">
        <w:rPr>
          <w:lang w:val="fr-FR"/>
        </w:rPr>
        <w:t>’</w:t>
      </w:r>
      <w:r w:rsidR="0030282F" w:rsidRPr="004618D5">
        <w:rPr>
          <w:lang w:val="fr-FR"/>
        </w:rPr>
        <w:t>est</w:t>
      </w:r>
      <w:r w:rsidR="00310392" w:rsidRPr="004618D5">
        <w:rPr>
          <w:lang w:val="fr-FR"/>
        </w:rPr>
        <w:t xml:space="preserve"> la date de réception du formulaire, et non celle de la première c</w:t>
      </w:r>
      <w:r w:rsidR="00726A8D" w:rsidRPr="004618D5">
        <w:rPr>
          <w:lang w:val="fr-FR"/>
        </w:rPr>
        <w:t>ommunication,</w:t>
      </w:r>
      <w:r w:rsidR="00310392" w:rsidRPr="004618D5">
        <w:rPr>
          <w:lang w:val="fr-FR"/>
        </w:rPr>
        <w:t xml:space="preserve"> </w:t>
      </w:r>
      <w:r w:rsidR="0030282F" w:rsidRPr="004618D5">
        <w:rPr>
          <w:lang w:val="fr-FR"/>
        </w:rPr>
        <w:t xml:space="preserve">qui pouvait être retenue </w:t>
      </w:r>
      <w:r w:rsidR="00310392" w:rsidRPr="004618D5">
        <w:rPr>
          <w:lang w:val="fr-FR"/>
        </w:rPr>
        <w:t>comme date d</w:t>
      </w:r>
      <w:r w:rsidR="004618D5" w:rsidRPr="004618D5">
        <w:rPr>
          <w:lang w:val="fr-FR"/>
        </w:rPr>
        <w:t>’</w:t>
      </w:r>
      <w:r w:rsidR="00310392" w:rsidRPr="004618D5">
        <w:rPr>
          <w:lang w:val="fr-FR"/>
        </w:rPr>
        <w:t>introduction de l</w:t>
      </w:r>
      <w:r w:rsidR="00764229" w:rsidRPr="004618D5">
        <w:rPr>
          <w:lang w:val="fr-FR"/>
        </w:rPr>
        <w:t>eur</w:t>
      </w:r>
      <w:r w:rsidR="00310392" w:rsidRPr="004618D5">
        <w:rPr>
          <w:lang w:val="fr-FR"/>
        </w:rPr>
        <w:t xml:space="preserve"> requête. Les requérants ont </w:t>
      </w:r>
      <w:r w:rsidR="00B362B9" w:rsidRPr="004618D5">
        <w:rPr>
          <w:lang w:val="fr-FR"/>
        </w:rPr>
        <w:t xml:space="preserve">fait précéder </w:t>
      </w:r>
      <w:r w:rsidR="00310392" w:rsidRPr="004618D5">
        <w:rPr>
          <w:lang w:val="fr-FR"/>
        </w:rPr>
        <w:t xml:space="preserve">leur formulaire de requête </w:t>
      </w:r>
      <w:r w:rsidR="00B362B9" w:rsidRPr="004618D5">
        <w:rPr>
          <w:lang w:val="fr-FR"/>
        </w:rPr>
        <w:t>d</w:t>
      </w:r>
      <w:r w:rsidR="004618D5" w:rsidRPr="004618D5">
        <w:rPr>
          <w:lang w:val="fr-FR"/>
        </w:rPr>
        <w:t>’</w:t>
      </w:r>
      <w:r w:rsidR="00764229" w:rsidRPr="004618D5">
        <w:rPr>
          <w:lang w:val="fr-FR"/>
        </w:rPr>
        <w:t>un</w:t>
      </w:r>
      <w:r w:rsidR="00310392" w:rsidRPr="004618D5">
        <w:rPr>
          <w:lang w:val="fr-FR"/>
        </w:rPr>
        <w:t xml:space="preserve"> fax, parvenu au greffe le 26</w:t>
      </w:r>
      <w:r w:rsidR="00B43864" w:rsidRPr="004618D5">
        <w:rPr>
          <w:lang w:val="fr-FR"/>
        </w:rPr>
        <w:t xml:space="preserve"> </w:t>
      </w:r>
      <w:r w:rsidR="00310392" w:rsidRPr="004618D5">
        <w:rPr>
          <w:lang w:val="fr-FR"/>
        </w:rPr>
        <w:t>novembre 2009. Ils ont donc respecté le délai qui leur avait été imparti dans la lettre du 1</w:t>
      </w:r>
      <w:r w:rsidR="00310392" w:rsidRPr="004618D5">
        <w:rPr>
          <w:vertAlign w:val="superscript"/>
          <w:lang w:val="fr-FR"/>
        </w:rPr>
        <w:t>er</w:t>
      </w:r>
      <w:r w:rsidR="00B43864" w:rsidRPr="004618D5">
        <w:rPr>
          <w:vertAlign w:val="superscript"/>
          <w:lang w:val="fr-FR"/>
        </w:rPr>
        <w:t xml:space="preserve"> </w:t>
      </w:r>
      <w:r w:rsidR="00310392" w:rsidRPr="004618D5">
        <w:rPr>
          <w:lang w:val="fr-FR"/>
        </w:rPr>
        <w:t xml:space="preserve">octobre 2009. </w:t>
      </w:r>
      <w:r w:rsidR="00307541" w:rsidRPr="004618D5">
        <w:rPr>
          <w:lang w:val="fr-FR"/>
        </w:rPr>
        <w:t>Q</w:t>
      </w:r>
      <w:r w:rsidR="00310392" w:rsidRPr="004618D5">
        <w:rPr>
          <w:lang w:val="fr-FR"/>
        </w:rPr>
        <w:t>u</w:t>
      </w:r>
      <w:r w:rsidR="004618D5" w:rsidRPr="004618D5">
        <w:rPr>
          <w:lang w:val="fr-FR"/>
        </w:rPr>
        <w:t>’</w:t>
      </w:r>
      <w:r w:rsidR="00310392" w:rsidRPr="004618D5">
        <w:rPr>
          <w:lang w:val="fr-FR"/>
        </w:rPr>
        <w:t>une autre copie du formulaire n</w:t>
      </w:r>
      <w:r w:rsidR="004618D5" w:rsidRPr="004618D5">
        <w:rPr>
          <w:lang w:val="fr-FR"/>
        </w:rPr>
        <w:t>’</w:t>
      </w:r>
      <w:r w:rsidR="00310392" w:rsidRPr="004618D5">
        <w:rPr>
          <w:lang w:val="fr-FR"/>
        </w:rPr>
        <w:t>ait été déposé</w:t>
      </w:r>
      <w:r w:rsidR="00164514" w:rsidRPr="004618D5">
        <w:rPr>
          <w:lang w:val="fr-FR"/>
        </w:rPr>
        <w:t>e</w:t>
      </w:r>
      <w:r w:rsidR="00310392" w:rsidRPr="004618D5">
        <w:rPr>
          <w:lang w:val="fr-FR"/>
        </w:rPr>
        <w:t xml:space="preserve"> </w:t>
      </w:r>
      <w:r w:rsidR="00764229" w:rsidRPr="004618D5">
        <w:rPr>
          <w:lang w:val="fr-FR"/>
        </w:rPr>
        <w:t>à l</w:t>
      </w:r>
      <w:r w:rsidR="004618D5" w:rsidRPr="004618D5">
        <w:rPr>
          <w:lang w:val="fr-FR"/>
        </w:rPr>
        <w:t>’</w:t>
      </w:r>
      <w:r w:rsidR="00764229" w:rsidRPr="004618D5">
        <w:rPr>
          <w:lang w:val="fr-FR"/>
        </w:rPr>
        <w:t>accueil de la Cour</w:t>
      </w:r>
      <w:r w:rsidR="00310392" w:rsidRPr="004618D5">
        <w:rPr>
          <w:lang w:val="fr-FR"/>
        </w:rPr>
        <w:t xml:space="preserve"> que le 30</w:t>
      </w:r>
      <w:r w:rsidR="00C60EBC" w:rsidRPr="004618D5">
        <w:rPr>
          <w:lang w:val="fr-FR"/>
        </w:rPr>
        <w:t> </w:t>
      </w:r>
      <w:r w:rsidR="00310392" w:rsidRPr="004618D5">
        <w:rPr>
          <w:lang w:val="fr-FR"/>
        </w:rPr>
        <w:t>novembre 2009</w:t>
      </w:r>
      <w:r w:rsidR="00307541" w:rsidRPr="004618D5">
        <w:rPr>
          <w:lang w:val="fr-FR"/>
        </w:rPr>
        <w:t xml:space="preserve"> importe peu</w:t>
      </w:r>
      <w:r w:rsidR="00310392" w:rsidRPr="004618D5">
        <w:rPr>
          <w:lang w:val="fr-FR"/>
        </w:rPr>
        <w:t>.</w:t>
      </w:r>
    </w:p>
    <w:p w:rsidR="00586C83" w:rsidRPr="004618D5" w:rsidRDefault="00310392"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40</w:t>
      </w:r>
      <w:r w:rsidRPr="004618D5">
        <w:rPr>
          <w:lang w:val="fr-FR"/>
        </w:rPr>
        <w:fldChar w:fldCharType="end"/>
      </w:r>
      <w:r w:rsidRPr="004618D5">
        <w:rPr>
          <w:lang w:val="fr-FR"/>
        </w:rPr>
        <w:t>.  Dans ces circonstances, l</w:t>
      </w:r>
      <w:r w:rsidR="004618D5" w:rsidRPr="004618D5">
        <w:rPr>
          <w:lang w:val="fr-FR"/>
        </w:rPr>
        <w:t>’</w:t>
      </w:r>
      <w:r w:rsidRPr="004618D5">
        <w:rPr>
          <w:lang w:val="fr-FR"/>
        </w:rPr>
        <w:t>exception du Gouvernement tirée de la tardiveté de la requête ne saurait être retenue.</w:t>
      </w:r>
    </w:p>
    <w:p w:rsidR="007B7D86" w:rsidRPr="004618D5" w:rsidRDefault="00F21629" w:rsidP="004618D5">
      <w:pPr>
        <w:pStyle w:val="ECHRHeading3"/>
        <w:rPr>
          <w:lang w:val="fr-FR"/>
        </w:rPr>
      </w:pPr>
      <w:r w:rsidRPr="004618D5">
        <w:rPr>
          <w:lang w:val="fr-FR"/>
        </w:rPr>
        <w:t>2</w:t>
      </w:r>
      <w:r w:rsidR="007B7D86" w:rsidRPr="004618D5">
        <w:rPr>
          <w:lang w:val="fr-FR"/>
        </w:rPr>
        <w:t>.  Autres motifs d</w:t>
      </w:r>
      <w:r w:rsidR="004618D5" w:rsidRPr="004618D5">
        <w:rPr>
          <w:lang w:val="fr-FR"/>
        </w:rPr>
        <w:t>’</w:t>
      </w:r>
      <w:r w:rsidR="007B7D86" w:rsidRPr="004618D5">
        <w:rPr>
          <w:lang w:val="fr-FR"/>
        </w:rPr>
        <w:t>irrecevabilité</w:t>
      </w:r>
    </w:p>
    <w:p w:rsidR="00E77CB3"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41</w:t>
      </w:r>
      <w:r w:rsidRPr="004618D5">
        <w:rPr>
          <w:lang w:val="fr-FR"/>
        </w:rPr>
        <w:fldChar w:fldCharType="end"/>
      </w:r>
      <w:r w:rsidRPr="004618D5">
        <w:rPr>
          <w:lang w:val="fr-FR"/>
        </w:rPr>
        <w:t>.  </w:t>
      </w:r>
      <w:r w:rsidR="00052B6D" w:rsidRPr="004618D5">
        <w:rPr>
          <w:lang w:val="fr-FR"/>
        </w:rPr>
        <w:t>Constatant</w:t>
      </w:r>
      <w:r w:rsidR="00E77CB3" w:rsidRPr="004618D5">
        <w:rPr>
          <w:lang w:val="fr-FR"/>
        </w:rPr>
        <w:t xml:space="preserve"> que </w:t>
      </w:r>
      <w:r w:rsidR="004A7B57" w:rsidRPr="004618D5">
        <w:rPr>
          <w:lang w:val="fr-FR"/>
        </w:rPr>
        <w:t>ce grief</w:t>
      </w:r>
      <w:r w:rsidR="00E77CB3" w:rsidRPr="004618D5">
        <w:rPr>
          <w:lang w:val="fr-FR"/>
        </w:rPr>
        <w:t xml:space="preserve"> n</w:t>
      </w:r>
      <w:r w:rsidR="004618D5" w:rsidRPr="004618D5">
        <w:rPr>
          <w:lang w:val="fr-FR"/>
        </w:rPr>
        <w:t>’</w:t>
      </w:r>
      <w:r w:rsidR="00E77CB3" w:rsidRPr="004618D5">
        <w:rPr>
          <w:lang w:val="fr-FR"/>
        </w:rPr>
        <w:t>est pas manifestement mal fondé au sens de l</w:t>
      </w:r>
      <w:r w:rsidR="004618D5" w:rsidRPr="004618D5">
        <w:rPr>
          <w:lang w:val="fr-FR"/>
        </w:rPr>
        <w:t>’</w:t>
      </w:r>
      <w:r w:rsidR="00E77CB3" w:rsidRPr="004618D5">
        <w:rPr>
          <w:lang w:val="fr-FR"/>
        </w:rPr>
        <w:t>article 35 § 3 a) de la Convention</w:t>
      </w:r>
      <w:r w:rsidR="00694A2E" w:rsidRPr="004618D5">
        <w:rPr>
          <w:lang w:val="fr-FR"/>
        </w:rPr>
        <w:t xml:space="preserve"> et qu</w:t>
      </w:r>
      <w:r w:rsidR="004618D5" w:rsidRPr="004618D5">
        <w:rPr>
          <w:lang w:val="fr-FR"/>
        </w:rPr>
        <w:t>’</w:t>
      </w:r>
      <w:r w:rsidR="004A7B57" w:rsidRPr="004618D5">
        <w:rPr>
          <w:lang w:val="fr-FR"/>
        </w:rPr>
        <w:t>il</w:t>
      </w:r>
      <w:r w:rsidR="00694A2E" w:rsidRPr="004618D5">
        <w:rPr>
          <w:lang w:val="fr-FR"/>
        </w:rPr>
        <w:t xml:space="preserve"> ne se heurte par ailleurs </w:t>
      </w:r>
      <w:r w:rsidR="00E77CB3" w:rsidRPr="004618D5">
        <w:rPr>
          <w:lang w:val="fr-FR"/>
        </w:rPr>
        <w:t>à aucun autre motif d</w:t>
      </w:r>
      <w:r w:rsidR="004618D5" w:rsidRPr="004618D5">
        <w:rPr>
          <w:lang w:val="fr-FR"/>
        </w:rPr>
        <w:t>’</w:t>
      </w:r>
      <w:r w:rsidR="00E77CB3" w:rsidRPr="004618D5">
        <w:rPr>
          <w:lang w:val="fr-FR"/>
        </w:rPr>
        <w:t>irrecevabilité</w:t>
      </w:r>
      <w:r w:rsidR="00052B6D" w:rsidRPr="004618D5">
        <w:rPr>
          <w:lang w:val="fr-FR"/>
        </w:rPr>
        <w:t>, la Cour</w:t>
      </w:r>
      <w:r w:rsidR="000F00EF" w:rsidRPr="004618D5">
        <w:rPr>
          <w:lang w:val="fr-FR"/>
        </w:rPr>
        <w:t xml:space="preserve"> l</w:t>
      </w:r>
      <w:r w:rsidR="004A7B57" w:rsidRPr="004618D5">
        <w:rPr>
          <w:lang w:val="fr-FR"/>
        </w:rPr>
        <w:t>e</w:t>
      </w:r>
      <w:r w:rsidR="000F00EF" w:rsidRPr="004618D5">
        <w:rPr>
          <w:lang w:val="fr-FR"/>
        </w:rPr>
        <w:t xml:space="preserve"> déclare recevable</w:t>
      </w:r>
      <w:r w:rsidR="00E77CB3" w:rsidRPr="004618D5">
        <w:rPr>
          <w:lang w:val="fr-FR"/>
        </w:rPr>
        <w:t>.</w:t>
      </w:r>
    </w:p>
    <w:p w:rsidR="00E77CB3" w:rsidRPr="004618D5" w:rsidRDefault="00E77CB3" w:rsidP="004618D5">
      <w:pPr>
        <w:pStyle w:val="ECHRHeading2"/>
        <w:rPr>
          <w:lang w:val="fr-FR"/>
        </w:rPr>
      </w:pPr>
      <w:r w:rsidRPr="004618D5">
        <w:rPr>
          <w:lang w:val="fr-FR"/>
        </w:rPr>
        <w:lastRenderedPageBreak/>
        <w:t>B.  Sur le fond</w:t>
      </w:r>
    </w:p>
    <w:p w:rsidR="00F21629" w:rsidRPr="004618D5" w:rsidRDefault="00F21629" w:rsidP="004618D5">
      <w:pPr>
        <w:pStyle w:val="ECHRHeading3"/>
        <w:rPr>
          <w:lang w:val="fr-FR"/>
        </w:rPr>
      </w:pPr>
      <w:r w:rsidRPr="004618D5">
        <w:rPr>
          <w:lang w:val="fr-FR"/>
        </w:rPr>
        <w:t>1.  Sur l</w:t>
      </w:r>
      <w:r w:rsidR="004618D5" w:rsidRPr="004618D5">
        <w:rPr>
          <w:lang w:val="fr-FR"/>
        </w:rPr>
        <w:t>’</w:t>
      </w:r>
      <w:r w:rsidRPr="004618D5">
        <w:rPr>
          <w:lang w:val="fr-FR"/>
        </w:rPr>
        <w:t>applicabilité de l</w:t>
      </w:r>
      <w:r w:rsidR="004618D5" w:rsidRPr="004618D5">
        <w:rPr>
          <w:lang w:val="fr-FR"/>
        </w:rPr>
        <w:t>’</w:t>
      </w:r>
      <w:r w:rsidRPr="004618D5">
        <w:rPr>
          <w:lang w:val="fr-FR"/>
        </w:rPr>
        <w:t xml:space="preserve">article </w:t>
      </w:r>
      <w:r w:rsidR="00307541" w:rsidRPr="004618D5">
        <w:rPr>
          <w:lang w:val="fr-FR"/>
        </w:rPr>
        <w:t xml:space="preserve">14 de la Convention </w:t>
      </w:r>
      <w:r w:rsidRPr="004618D5">
        <w:rPr>
          <w:lang w:val="fr-FR"/>
        </w:rPr>
        <w:t>combiné avec l</w:t>
      </w:r>
      <w:r w:rsidR="004618D5" w:rsidRPr="004618D5">
        <w:rPr>
          <w:lang w:val="fr-FR"/>
        </w:rPr>
        <w:t>’</w:t>
      </w:r>
      <w:r w:rsidRPr="004618D5">
        <w:rPr>
          <w:lang w:val="fr-FR"/>
        </w:rPr>
        <w:t>article 8</w:t>
      </w:r>
    </w:p>
    <w:p w:rsidR="00F21629" w:rsidRPr="004618D5" w:rsidRDefault="00F21629" w:rsidP="004618D5">
      <w:pPr>
        <w:pStyle w:val="ECHRHeading4"/>
        <w:rPr>
          <w:lang w:val="fr-FR"/>
        </w:rPr>
      </w:pPr>
      <w:r w:rsidRPr="004618D5">
        <w:rPr>
          <w:lang w:val="fr-FR"/>
        </w:rPr>
        <w:t>a)  Arguments des parties</w:t>
      </w:r>
    </w:p>
    <w:p w:rsidR="00F21629" w:rsidRPr="004618D5" w:rsidRDefault="00F21629" w:rsidP="004618D5">
      <w:pPr>
        <w:pStyle w:val="ECHRHeading5"/>
        <w:rPr>
          <w:lang w:val="fr-FR"/>
        </w:rPr>
      </w:pPr>
      <w:r w:rsidRPr="004618D5">
        <w:rPr>
          <w:lang w:val="fr-FR"/>
        </w:rPr>
        <w:t>i.  Le Gouvernement</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42</w:t>
      </w:r>
      <w:r w:rsidRPr="004618D5">
        <w:rPr>
          <w:lang w:val="fr-FR"/>
        </w:rPr>
        <w:fldChar w:fldCharType="end"/>
      </w:r>
      <w:r w:rsidRPr="004618D5">
        <w:rPr>
          <w:lang w:val="fr-FR"/>
        </w:rPr>
        <w:t>.  Le Gouvernement considère que l</w:t>
      </w:r>
      <w:r w:rsidR="004618D5" w:rsidRPr="004618D5">
        <w:rPr>
          <w:lang w:val="fr-FR"/>
        </w:rPr>
        <w:t>’</w:t>
      </w:r>
      <w:r w:rsidRPr="004618D5">
        <w:rPr>
          <w:lang w:val="fr-FR"/>
        </w:rPr>
        <w:t>article 14 ne trouve pas à s</w:t>
      </w:r>
      <w:r w:rsidR="004618D5" w:rsidRPr="004618D5">
        <w:rPr>
          <w:lang w:val="fr-FR"/>
        </w:rPr>
        <w:t>’</w:t>
      </w:r>
      <w:r w:rsidRPr="004618D5">
        <w:rPr>
          <w:lang w:val="fr-FR"/>
        </w:rPr>
        <w:t>appliquer en l</w:t>
      </w:r>
      <w:r w:rsidR="004618D5" w:rsidRPr="004618D5">
        <w:rPr>
          <w:lang w:val="fr-FR"/>
        </w:rPr>
        <w:t>’</w:t>
      </w:r>
      <w:r w:rsidRPr="004618D5">
        <w:rPr>
          <w:lang w:val="fr-FR"/>
        </w:rPr>
        <w:t>espèce.</w:t>
      </w:r>
      <w:r w:rsidRPr="004618D5">
        <w:rPr>
          <w:szCs w:val="24"/>
          <w:lang w:val="fr-FR"/>
        </w:rPr>
        <w:t xml:space="preserve"> </w:t>
      </w:r>
      <w:r w:rsidR="00307541" w:rsidRPr="004618D5">
        <w:rPr>
          <w:szCs w:val="24"/>
          <w:lang w:val="fr-FR"/>
        </w:rPr>
        <w:t>Selon lui,</w:t>
      </w:r>
      <w:r w:rsidRPr="004618D5">
        <w:rPr>
          <w:szCs w:val="24"/>
          <w:lang w:val="fr-FR"/>
        </w:rPr>
        <w:t xml:space="preserve"> dans les affaires </w:t>
      </w:r>
      <w:r w:rsidRPr="004618D5">
        <w:rPr>
          <w:i/>
          <w:szCs w:val="24"/>
          <w:lang w:val="fr-FR"/>
        </w:rPr>
        <w:t>S. c. Royaume-Uni</w:t>
      </w:r>
      <w:r w:rsidRPr="004618D5">
        <w:rPr>
          <w:szCs w:val="24"/>
          <w:lang w:val="fr-FR"/>
        </w:rPr>
        <w:t xml:space="preserve"> (n</w:t>
      </w:r>
      <w:r w:rsidR="00B55B33" w:rsidRPr="004618D5">
        <w:rPr>
          <w:szCs w:val="24"/>
          <w:vertAlign w:val="superscript"/>
          <w:lang w:val="fr-FR"/>
        </w:rPr>
        <w:t>o</w:t>
      </w:r>
      <w:r w:rsidR="007F4ED4" w:rsidRPr="004618D5">
        <w:rPr>
          <w:szCs w:val="24"/>
          <w:lang w:val="fr-FR"/>
        </w:rPr>
        <w:t> </w:t>
      </w:r>
      <w:r w:rsidRPr="004618D5">
        <w:rPr>
          <w:szCs w:val="24"/>
          <w:lang w:val="fr-FR"/>
        </w:rPr>
        <w:t>11716/85</w:t>
      </w:r>
      <w:r w:rsidRPr="004618D5">
        <w:rPr>
          <w:lang w:val="fr-FR"/>
        </w:rPr>
        <w:t>,</w:t>
      </w:r>
      <w:r w:rsidRPr="004618D5">
        <w:rPr>
          <w:szCs w:val="24"/>
          <w:lang w:val="fr-FR"/>
        </w:rPr>
        <w:t xml:space="preserve"> décision de la Commission du 14 mai 1986, </w:t>
      </w:r>
      <w:r w:rsidRPr="004618D5">
        <w:rPr>
          <w:lang w:val="fr-FR"/>
        </w:rPr>
        <w:t>Décisions et rapports (DR) 47, p. 274)</w:t>
      </w:r>
      <w:r w:rsidRPr="004618D5">
        <w:rPr>
          <w:szCs w:val="24"/>
          <w:lang w:val="fr-FR"/>
        </w:rPr>
        <w:t xml:space="preserve"> et </w:t>
      </w:r>
      <w:r w:rsidRPr="004618D5">
        <w:rPr>
          <w:i/>
          <w:szCs w:val="24"/>
          <w:lang w:val="fr-FR"/>
        </w:rPr>
        <w:t xml:space="preserve">Röösli c. Allemagne </w:t>
      </w:r>
      <w:r w:rsidRPr="004618D5">
        <w:rPr>
          <w:szCs w:val="24"/>
          <w:lang w:val="fr-FR"/>
        </w:rPr>
        <w:t>(n</w:t>
      </w:r>
      <w:r w:rsidR="00B55B33" w:rsidRPr="004618D5">
        <w:rPr>
          <w:szCs w:val="24"/>
          <w:vertAlign w:val="superscript"/>
          <w:lang w:val="fr-FR"/>
        </w:rPr>
        <w:t>o</w:t>
      </w:r>
      <w:r w:rsidRPr="004618D5">
        <w:rPr>
          <w:szCs w:val="24"/>
          <w:lang w:val="fr-FR"/>
        </w:rPr>
        <w:t xml:space="preserve"> 28318/95, décision de la Commission du 15 mai 1996), la Commission avait </w:t>
      </w:r>
      <w:r w:rsidR="00307541" w:rsidRPr="004618D5">
        <w:rPr>
          <w:szCs w:val="24"/>
          <w:lang w:val="fr-FR"/>
        </w:rPr>
        <w:t xml:space="preserve">indiqué </w:t>
      </w:r>
      <w:r w:rsidRPr="004618D5">
        <w:rPr>
          <w:szCs w:val="24"/>
          <w:lang w:val="fr-FR"/>
        </w:rPr>
        <w:t xml:space="preserve">que la défense de la famille était un but légitime pouvant justifier une différence de traitement et que </w:t>
      </w:r>
      <w:r w:rsidRPr="004618D5">
        <w:rPr>
          <w:rFonts w:ascii="Times New Roman" w:eastAsiaTheme="minorHAnsi" w:hAnsi="Times New Roman" w:cs="Times New Roman"/>
          <w:szCs w:val="24"/>
          <w:lang w:val="fr-FR"/>
        </w:rPr>
        <w:t>des relations homosexuelles durables entre deux hommes ne relevaient pas du droit au respect de la vie familiale protégé par l</w:t>
      </w:r>
      <w:r w:rsidR="004618D5" w:rsidRPr="004618D5">
        <w:rPr>
          <w:rFonts w:ascii="Times New Roman" w:eastAsiaTheme="minorHAnsi" w:hAnsi="Times New Roman" w:cs="Times New Roman"/>
          <w:szCs w:val="24"/>
          <w:lang w:val="fr-FR"/>
        </w:rPr>
        <w:t>’</w:t>
      </w:r>
      <w:r w:rsidRPr="004618D5">
        <w:rPr>
          <w:rFonts w:ascii="Times New Roman" w:eastAsiaTheme="minorHAnsi" w:hAnsi="Times New Roman" w:cs="Times New Roman"/>
          <w:szCs w:val="24"/>
          <w:lang w:val="fr-FR"/>
        </w:rPr>
        <w:t>article</w:t>
      </w:r>
      <w:r w:rsidR="006A002F" w:rsidRPr="004618D5">
        <w:rPr>
          <w:rFonts w:ascii="Times New Roman" w:eastAsiaTheme="minorHAnsi" w:hAnsi="Times New Roman" w:cs="Times New Roman"/>
          <w:szCs w:val="24"/>
          <w:lang w:val="fr-FR"/>
        </w:rPr>
        <w:t> </w:t>
      </w:r>
      <w:r w:rsidRPr="004618D5">
        <w:rPr>
          <w:rFonts w:ascii="Times New Roman" w:eastAsiaTheme="minorHAnsi" w:hAnsi="Times New Roman" w:cs="Times New Roman"/>
          <w:szCs w:val="24"/>
          <w:lang w:val="fr-FR"/>
        </w:rPr>
        <w:t>8 de la Convention</w:t>
      </w:r>
      <w:r w:rsidRPr="004618D5">
        <w:rPr>
          <w:szCs w:val="24"/>
          <w:lang w:val="fr-FR"/>
        </w:rPr>
        <w:t>.</w:t>
      </w:r>
      <w:r w:rsidRPr="004618D5">
        <w:rPr>
          <w:lang w:val="fr-FR"/>
        </w:rPr>
        <w:t xml:space="preserve"> La Commission a</w:t>
      </w:r>
      <w:r w:rsidR="00307541" w:rsidRPr="004618D5">
        <w:rPr>
          <w:lang w:val="fr-FR"/>
        </w:rPr>
        <w:t>ur</w:t>
      </w:r>
      <w:r w:rsidRPr="004618D5">
        <w:rPr>
          <w:lang w:val="fr-FR"/>
        </w:rPr>
        <w:t>ait également considéré que l</w:t>
      </w:r>
      <w:r w:rsidR="004618D5" w:rsidRPr="004618D5">
        <w:rPr>
          <w:lang w:val="fr-FR"/>
        </w:rPr>
        <w:t>’</w:t>
      </w:r>
      <w:r w:rsidRPr="004618D5">
        <w:rPr>
          <w:lang w:val="fr-FR"/>
        </w:rPr>
        <w:t>expulsion d</w:t>
      </w:r>
      <w:r w:rsidR="004618D5" w:rsidRPr="004618D5">
        <w:rPr>
          <w:lang w:val="fr-FR"/>
        </w:rPr>
        <w:t>’</w:t>
      </w:r>
      <w:r w:rsidRPr="004618D5">
        <w:rPr>
          <w:lang w:val="fr-FR"/>
        </w:rPr>
        <w:t>un étranger lié, dans l</w:t>
      </w:r>
      <w:r w:rsidR="004618D5" w:rsidRPr="004618D5">
        <w:rPr>
          <w:lang w:val="fr-FR"/>
        </w:rPr>
        <w:t>’</w:t>
      </w:r>
      <w:r w:rsidRPr="004618D5">
        <w:rPr>
          <w:lang w:val="fr-FR"/>
        </w:rPr>
        <w:t>État d</w:t>
      </w:r>
      <w:r w:rsidR="004618D5" w:rsidRPr="004618D5">
        <w:rPr>
          <w:lang w:val="fr-FR"/>
        </w:rPr>
        <w:t>’</w:t>
      </w:r>
      <w:r w:rsidRPr="004618D5">
        <w:rPr>
          <w:lang w:val="fr-FR"/>
        </w:rPr>
        <w:t>accueil, par une relation avec une personne du même sexe n</w:t>
      </w:r>
      <w:r w:rsidR="004618D5" w:rsidRPr="004618D5">
        <w:rPr>
          <w:lang w:val="fr-FR"/>
        </w:rPr>
        <w:t>’</w:t>
      </w:r>
      <w:r w:rsidRPr="004618D5">
        <w:rPr>
          <w:lang w:val="fr-FR"/>
        </w:rPr>
        <w:t>était pas constitutive d</w:t>
      </w:r>
      <w:r w:rsidR="004618D5" w:rsidRPr="004618D5">
        <w:rPr>
          <w:lang w:val="fr-FR"/>
        </w:rPr>
        <w:t>’</w:t>
      </w:r>
      <w:r w:rsidRPr="004618D5">
        <w:rPr>
          <w:lang w:val="fr-FR"/>
        </w:rPr>
        <w:t>une ingérence dans le droit garanti par cette disposition (</w:t>
      </w:r>
      <w:r w:rsidRPr="004618D5">
        <w:rPr>
          <w:i/>
          <w:lang w:val="fr-FR"/>
        </w:rPr>
        <w:t>X et Y c. Royaume-Uni</w:t>
      </w:r>
      <w:r w:rsidRPr="004618D5">
        <w:rPr>
          <w:lang w:val="fr-FR"/>
        </w:rPr>
        <w:t>, n</w:t>
      </w:r>
      <w:r w:rsidR="00B55B33" w:rsidRPr="004618D5">
        <w:rPr>
          <w:vertAlign w:val="superscript"/>
          <w:lang w:val="fr-FR"/>
        </w:rPr>
        <w:t>o</w:t>
      </w:r>
      <w:r w:rsidRPr="004618D5">
        <w:rPr>
          <w:lang w:val="fr-FR"/>
        </w:rPr>
        <w:t xml:space="preserve"> 9369/81, décision de la Commission du 3 mai 1983, DR 32, p. 223</w:t>
      </w:r>
      <w:r w:rsidR="00044351" w:rsidRPr="004618D5">
        <w:rPr>
          <w:lang w:val="fr-FR"/>
        </w:rPr>
        <w:t>,</w:t>
      </w:r>
      <w:r w:rsidRPr="004618D5">
        <w:rPr>
          <w:lang w:val="fr-FR"/>
        </w:rPr>
        <w:t xml:space="preserve"> </w:t>
      </w:r>
      <w:r w:rsidRPr="004618D5">
        <w:rPr>
          <w:i/>
          <w:lang w:val="fr-FR"/>
        </w:rPr>
        <w:t>W.J. et</w:t>
      </w:r>
      <w:r w:rsidRPr="004618D5">
        <w:rPr>
          <w:lang w:val="fr-FR"/>
        </w:rPr>
        <w:t xml:space="preserve"> </w:t>
      </w:r>
      <w:r w:rsidRPr="004618D5">
        <w:rPr>
          <w:i/>
          <w:lang w:val="fr-FR"/>
        </w:rPr>
        <w:t>D.P. c. Royaume-Uni</w:t>
      </w:r>
      <w:r w:rsidRPr="004618D5">
        <w:rPr>
          <w:lang w:val="fr-FR"/>
        </w:rPr>
        <w:t>, n</w:t>
      </w:r>
      <w:r w:rsidR="00B55B33" w:rsidRPr="004618D5">
        <w:rPr>
          <w:vertAlign w:val="superscript"/>
          <w:lang w:val="fr-FR"/>
        </w:rPr>
        <w:t>o</w:t>
      </w:r>
      <w:r w:rsidR="00ED1595" w:rsidRPr="004618D5">
        <w:rPr>
          <w:lang w:val="fr-FR"/>
        </w:rPr>
        <w:t> </w:t>
      </w:r>
      <w:r w:rsidRPr="004618D5">
        <w:rPr>
          <w:lang w:val="fr-FR"/>
        </w:rPr>
        <w:t>12513/86, décision de la Commission du 13</w:t>
      </w:r>
      <w:r w:rsidR="006A002F" w:rsidRPr="004618D5">
        <w:rPr>
          <w:lang w:val="fr-FR"/>
        </w:rPr>
        <w:t> </w:t>
      </w:r>
      <w:r w:rsidRPr="004618D5">
        <w:rPr>
          <w:lang w:val="fr-FR"/>
        </w:rPr>
        <w:t>juillet</w:t>
      </w:r>
      <w:r w:rsidR="006A002F" w:rsidRPr="004618D5">
        <w:rPr>
          <w:lang w:val="fr-FR"/>
        </w:rPr>
        <w:t> </w:t>
      </w:r>
      <w:r w:rsidRPr="004618D5">
        <w:rPr>
          <w:lang w:val="fr-FR"/>
        </w:rPr>
        <w:t>1987</w:t>
      </w:r>
      <w:r w:rsidR="00044351" w:rsidRPr="004618D5">
        <w:rPr>
          <w:lang w:val="fr-FR"/>
        </w:rPr>
        <w:t>,</w:t>
      </w:r>
      <w:r w:rsidRPr="004618D5">
        <w:rPr>
          <w:lang w:val="fr-FR"/>
        </w:rPr>
        <w:t xml:space="preserve"> et </w:t>
      </w:r>
      <w:r w:rsidR="004618D5" w:rsidRPr="004618D5">
        <w:rPr>
          <w:i/>
          <w:lang w:val="fr-FR"/>
        </w:rPr>
        <w:t>C. et L.M. c. </w:t>
      </w:r>
      <w:r w:rsidRPr="004618D5">
        <w:rPr>
          <w:i/>
          <w:lang w:val="fr-FR"/>
        </w:rPr>
        <w:t>Royaume-Uni</w:t>
      </w:r>
      <w:r w:rsidRPr="004618D5">
        <w:rPr>
          <w:lang w:val="fr-FR"/>
        </w:rPr>
        <w:t>, n</w:t>
      </w:r>
      <w:r w:rsidR="00B55B33" w:rsidRPr="004618D5">
        <w:rPr>
          <w:vertAlign w:val="superscript"/>
          <w:lang w:val="fr-FR"/>
        </w:rPr>
        <w:t>o</w:t>
      </w:r>
      <w:r w:rsidRPr="004618D5">
        <w:rPr>
          <w:lang w:val="fr-FR"/>
        </w:rPr>
        <w:t xml:space="preserve"> 14753/89, décision de la C</w:t>
      </w:r>
      <w:r w:rsidR="00B70677" w:rsidRPr="004618D5">
        <w:rPr>
          <w:lang w:val="fr-FR"/>
        </w:rPr>
        <w:t>ommission du 9</w:t>
      </w:r>
      <w:r w:rsidR="00B43864" w:rsidRPr="004618D5">
        <w:rPr>
          <w:lang w:val="fr-FR"/>
        </w:rPr>
        <w:t xml:space="preserve"> </w:t>
      </w:r>
      <w:r w:rsidR="00B70677" w:rsidRPr="004618D5">
        <w:rPr>
          <w:lang w:val="fr-FR"/>
        </w:rPr>
        <w:t>octobre 1989).</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43</w:t>
      </w:r>
      <w:r w:rsidRPr="004618D5">
        <w:rPr>
          <w:lang w:val="fr-FR"/>
        </w:rPr>
        <w:fldChar w:fldCharType="end"/>
      </w:r>
      <w:r w:rsidRPr="004618D5">
        <w:rPr>
          <w:lang w:val="fr-FR"/>
        </w:rPr>
        <w:t xml:space="preserve">.  Le Gouvernement </w:t>
      </w:r>
      <w:r w:rsidR="0030282F" w:rsidRPr="004618D5">
        <w:rPr>
          <w:lang w:val="fr-FR"/>
        </w:rPr>
        <w:t>expose</w:t>
      </w:r>
      <w:r w:rsidR="00307541" w:rsidRPr="004618D5">
        <w:rPr>
          <w:lang w:val="fr-FR"/>
        </w:rPr>
        <w:t xml:space="preserve"> ensuite </w:t>
      </w:r>
      <w:r w:rsidRPr="004618D5">
        <w:rPr>
          <w:lang w:val="fr-FR"/>
        </w:rPr>
        <w:t>que, tout en reconnaissant la marge d</w:t>
      </w:r>
      <w:r w:rsidR="004618D5" w:rsidRPr="004618D5">
        <w:rPr>
          <w:lang w:val="fr-FR"/>
        </w:rPr>
        <w:t>’</w:t>
      </w:r>
      <w:r w:rsidRPr="004618D5">
        <w:rPr>
          <w:lang w:val="fr-FR"/>
        </w:rPr>
        <w:t xml:space="preserve">appréciation dont jouissent les États </w:t>
      </w:r>
      <w:r w:rsidR="0030282F" w:rsidRPr="004618D5">
        <w:rPr>
          <w:lang w:val="fr-FR"/>
        </w:rPr>
        <w:t>en ce qui concerne la protection de</w:t>
      </w:r>
      <w:r w:rsidRPr="004618D5">
        <w:rPr>
          <w:lang w:val="fr-FR"/>
        </w:rPr>
        <w:t xml:space="preserve"> la famille traditionnelle, la Cour a commencé</w:t>
      </w:r>
      <w:r w:rsidR="00044351" w:rsidRPr="004618D5">
        <w:rPr>
          <w:lang w:val="fr-FR"/>
        </w:rPr>
        <w:t>,</w:t>
      </w:r>
      <w:r w:rsidRPr="004618D5">
        <w:rPr>
          <w:lang w:val="fr-FR"/>
        </w:rPr>
        <w:t xml:space="preserve"> </w:t>
      </w:r>
      <w:r w:rsidR="0030282F" w:rsidRPr="004618D5">
        <w:rPr>
          <w:lang w:val="fr-FR"/>
        </w:rPr>
        <w:t>en</w:t>
      </w:r>
      <w:r w:rsidR="00044351" w:rsidRPr="004618D5">
        <w:rPr>
          <w:lang w:val="fr-FR"/>
        </w:rPr>
        <w:t xml:space="preserve"> 2010, </w:t>
      </w:r>
      <w:r w:rsidRPr="004618D5">
        <w:rPr>
          <w:lang w:val="fr-FR"/>
        </w:rPr>
        <w:t xml:space="preserve">à considérer sous </w:t>
      </w:r>
      <w:r w:rsidR="006A002F" w:rsidRPr="004618D5">
        <w:rPr>
          <w:lang w:val="fr-FR"/>
        </w:rPr>
        <w:t>l</w:t>
      </w:r>
      <w:r w:rsidR="004618D5" w:rsidRPr="004618D5">
        <w:rPr>
          <w:lang w:val="fr-FR"/>
        </w:rPr>
        <w:t>’</w:t>
      </w:r>
      <w:r w:rsidR="006A002F" w:rsidRPr="004618D5">
        <w:rPr>
          <w:lang w:val="fr-FR"/>
        </w:rPr>
        <w:t xml:space="preserve">angle de </w:t>
      </w:r>
      <w:r w:rsidRPr="004618D5">
        <w:rPr>
          <w:lang w:val="fr-FR"/>
        </w:rPr>
        <w:t>l</w:t>
      </w:r>
      <w:r w:rsidR="004618D5" w:rsidRPr="004618D5">
        <w:rPr>
          <w:lang w:val="fr-FR"/>
        </w:rPr>
        <w:t>’</w:t>
      </w:r>
      <w:r w:rsidRPr="004618D5">
        <w:rPr>
          <w:lang w:val="fr-FR"/>
        </w:rPr>
        <w:t>article 8 de la Convention de</w:t>
      </w:r>
      <w:r w:rsidR="00044351" w:rsidRPr="004618D5">
        <w:rPr>
          <w:lang w:val="fr-FR"/>
        </w:rPr>
        <w:t>s</w:t>
      </w:r>
      <w:r w:rsidRPr="004618D5">
        <w:rPr>
          <w:lang w:val="fr-FR"/>
        </w:rPr>
        <w:t xml:space="preserve"> formes de cohabitation affective entre personnes du même sexe (voir, notamment, </w:t>
      </w:r>
      <w:r w:rsidRPr="004618D5">
        <w:rPr>
          <w:i/>
          <w:lang w:val="fr-FR"/>
        </w:rPr>
        <w:t>Koza</w:t>
      </w:r>
      <w:r w:rsidR="00044351" w:rsidRPr="004618D5">
        <w:rPr>
          <w:i/>
          <w:lang w:val="fr-FR"/>
        </w:rPr>
        <w:t>k</w:t>
      </w:r>
      <w:r w:rsidRPr="004618D5">
        <w:rPr>
          <w:i/>
          <w:lang w:val="fr-FR"/>
        </w:rPr>
        <w:t xml:space="preserve"> c.</w:t>
      </w:r>
      <w:r w:rsidR="00FD25AF" w:rsidRPr="004618D5">
        <w:rPr>
          <w:i/>
          <w:lang w:val="fr-FR"/>
        </w:rPr>
        <w:t> </w:t>
      </w:r>
      <w:r w:rsidRPr="004618D5">
        <w:rPr>
          <w:i/>
          <w:lang w:val="fr-FR"/>
        </w:rPr>
        <w:t>Pologne</w:t>
      </w:r>
      <w:r w:rsidRPr="004618D5">
        <w:rPr>
          <w:lang w:val="fr-FR"/>
        </w:rPr>
        <w:t>, n</w:t>
      </w:r>
      <w:r w:rsidR="00B55B33" w:rsidRPr="004618D5">
        <w:rPr>
          <w:vertAlign w:val="superscript"/>
          <w:lang w:val="fr-FR"/>
        </w:rPr>
        <w:t>o</w:t>
      </w:r>
      <w:r w:rsidR="006A002F" w:rsidRPr="004618D5">
        <w:rPr>
          <w:lang w:val="fr-FR"/>
        </w:rPr>
        <w:t> </w:t>
      </w:r>
      <w:r w:rsidRPr="004618D5">
        <w:rPr>
          <w:lang w:val="fr-FR"/>
        </w:rPr>
        <w:t>13102/02, 2 mars 2010). Dans l</w:t>
      </w:r>
      <w:r w:rsidR="004618D5" w:rsidRPr="004618D5">
        <w:rPr>
          <w:lang w:val="fr-FR"/>
        </w:rPr>
        <w:t>’</w:t>
      </w:r>
      <w:r w:rsidRPr="004618D5">
        <w:rPr>
          <w:lang w:val="fr-FR"/>
        </w:rPr>
        <w:t xml:space="preserve">affaire </w:t>
      </w:r>
      <w:r w:rsidRPr="004618D5">
        <w:rPr>
          <w:i/>
          <w:lang w:val="fr-FR"/>
        </w:rPr>
        <w:t>Schalk et Kopf c.</w:t>
      </w:r>
      <w:r w:rsidR="00413C00" w:rsidRPr="004618D5">
        <w:rPr>
          <w:i/>
          <w:lang w:val="fr-FR"/>
        </w:rPr>
        <w:t> </w:t>
      </w:r>
      <w:r w:rsidRPr="004618D5">
        <w:rPr>
          <w:i/>
          <w:lang w:val="fr-FR"/>
        </w:rPr>
        <w:t xml:space="preserve">Autriche </w:t>
      </w:r>
      <w:r w:rsidRPr="004618D5">
        <w:rPr>
          <w:lang w:val="fr-FR"/>
        </w:rPr>
        <w:t>(n</w:t>
      </w:r>
      <w:r w:rsidR="00B55B33" w:rsidRPr="004618D5">
        <w:rPr>
          <w:vertAlign w:val="superscript"/>
          <w:lang w:val="fr-FR"/>
        </w:rPr>
        <w:t>o</w:t>
      </w:r>
      <w:r w:rsidR="006A002F" w:rsidRPr="004618D5">
        <w:rPr>
          <w:lang w:val="fr-FR"/>
        </w:rPr>
        <w:t> </w:t>
      </w:r>
      <w:r w:rsidRPr="004618D5">
        <w:rPr>
          <w:lang w:val="fr-FR"/>
        </w:rPr>
        <w:t>30141/04, CEDH 2010-IV), la Cour a</w:t>
      </w:r>
      <w:r w:rsidR="00307541" w:rsidRPr="004618D5">
        <w:rPr>
          <w:lang w:val="fr-FR"/>
        </w:rPr>
        <w:t>urait</w:t>
      </w:r>
      <w:r w:rsidRPr="004618D5">
        <w:rPr>
          <w:lang w:val="fr-FR"/>
        </w:rPr>
        <w:t xml:space="preserve"> reconnu que les couples </w:t>
      </w:r>
      <w:r w:rsidR="00044351" w:rsidRPr="004618D5">
        <w:rPr>
          <w:lang w:val="fr-FR"/>
        </w:rPr>
        <w:t xml:space="preserve">de </w:t>
      </w:r>
      <w:r w:rsidRPr="004618D5">
        <w:rPr>
          <w:lang w:val="fr-FR"/>
        </w:rPr>
        <w:t>même sexe pouvaient invoquer leur droit au respect de leur vie familiale, mais que la Convention ne leur garantissait pas le droit au mariage. Elle a</w:t>
      </w:r>
      <w:r w:rsidR="00307541" w:rsidRPr="004618D5">
        <w:rPr>
          <w:lang w:val="fr-FR"/>
        </w:rPr>
        <w:t>urait</w:t>
      </w:r>
      <w:r w:rsidRPr="004618D5">
        <w:rPr>
          <w:lang w:val="fr-FR"/>
        </w:rPr>
        <w:t xml:space="preserve"> également estimé que</w:t>
      </w:r>
      <w:r w:rsidR="00307541" w:rsidRPr="004618D5">
        <w:rPr>
          <w:lang w:val="fr-FR"/>
        </w:rPr>
        <w:t>,</w:t>
      </w:r>
      <w:r w:rsidRPr="004618D5">
        <w:rPr>
          <w:lang w:val="fr-FR"/>
        </w:rPr>
        <w:t xml:space="preserve"> lorsque les États décident d</w:t>
      </w:r>
      <w:r w:rsidR="004618D5" w:rsidRPr="004618D5">
        <w:rPr>
          <w:lang w:val="fr-FR"/>
        </w:rPr>
        <w:t>’</w:t>
      </w:r>
      <w:r w:rsidRPr="004618D5">
        <w:rPr>
          <w:lang w:val="fr-FR"/>
        </w:rPr>
        <w:t>offrir aux couples homosexuels un mode de reconnaissance juridique autre que le mariage, ils bénéficient d</w:t>
      </w:r>
      <w:r w:rsidR="004618D5" w:rsidRPr="004618D5">
        <w:rPr>
          <w:lang w:val="fr-FR"/>
        </w:rPr>
        <w:t>’</w:t>
      </w:r>
      <w:r w:rsidRPr="004618D5">
        <w:rPr>
          <w:lang w:val="fr-FR"/>
        </w:rPr>
        <w:t>une certaine marge d</w:t>
      </w:r>
      <w:r w:rsidR="004618D5" w:rsidRPr="004618D5">
        <w:rPr>
          <w:lang w:val="fr-FR"/>
        </w:rPr>
        <w:t>’</w:t>
      </w:r>
      <w:r w:rsidRPr="004618D5">
        <w:rPr>
          <w:lang w:val="fr-FR"/>
        </w:rPr>
        <w:t xml:space="preserve">appréciation pour décider de la nature exacte du statut conféré (voir, notamment, </w:t>
      </w:r>
      <w:r w:rsidRPr="004618D5">
        <w:rPr>
          <w:i/>
          <w:lang w:val="fr-FR"/>
        </w:rPr>
        <w:t>Gas et Dubois c.</w:t>
      </w:r>
      <w:r w:rsidR="00CB5BA3" w:rsidRPr="004618D5">
        <w:rPr>
          <w:i/>
          <w:lang w:val="fr-FR"/>
        </w:rPr>
        <w:t> </w:t>
      </w:r>
      <w:r w:rsidRPr="004618D5">
        <w:rPr>
          <w:i/>
          <w:lang w:val="fr-FR"/>
        </w:rPr>
        <w:t>France</w:t>
      </w:r>
      <w:r w:rsidRPr="004618D5">
        <w:rPr>
          <w:lang w:val="fr-FR"/>
        </w:rPr>
        <w:t>, n</w:t>
      </w:r>
      <w:r w:rsidR="00B55B33" w:rsidRPr="004618D5">
        <w:rPr>
          <w:vertAlign w:val="superscript"/>
          <w:lang w:val="fr-FR"/>
        </w:rPr>
        <w:t>o</w:t>
      </w:r>
      <w:r w:rsidR="007F4ED4" w:rsidRPr="004618D5">
        <w:rPr>
          <w:lang w:val="fr-FR"/>
        </w:rPr>
        <w:t> </w:t>
      </w:r>
      <w:r w:rsidRPr="004618D5">
        <w:rPr>
          <w:lang w:val="fr-FR"/>
        </w:rPr>
        <w:t>25951/07, § 66, CEDH 2012).</w:t>
      </w:r>
    </w:p>
    <w:p w:rsidR="00F21629" w:rsidRPr="004618D5" w:rsidRDefault="00F21629" w:rsidP="004618D5">
      <w:pPr>
        <w:pStyle w:val="ECHRPara"/>
        <w:rPr>
          <w:rFonts w:eastAsiaTheme="minorHAnsi"/>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44</w:t>
      </w:r>
      <w:r w:rsidRPr="004618D5">
        <w:rPr>
          <w:lang w:val="fr-FR"/>
        </w:rPr>
        <w:fldChar w:fldCharType="end"/>
      </w:r>
      <w:r w:rsidRPr="004618D5">
        <w:rPr>
          <w:lang w:val="fr-FR"/>
        </w:rPr>
        <w:t xml:space="preserve">.  Le Gouvernement </w:t>
      </w:r>
      <w:r w:rsidR="00307541" w:rsidRPr="004618D5">
        <w:rPr>
          <w:lang w:val="fr-FR"/>
        </w:rPr>
        <w:t xml:space="preserve">indique </w:t>
      </w:r>
      <w:r w:rsidRPr="004618D5">
        <w:rPr>
          <w:lang w:val="fr-FR"/>
        </w:rPr>
        <w:t>qu</w:t>
      </w:r>
      <w:r w:rsidR="00176177" w:rsidRPr="004618D5">
        <w:rPr>
          <w:lang w:val="fr-FR"/>
        </w:rPr>
        <w:t xml:space="preserve">e, </w:t>
      </w:r>
      <w:r w:rsidRPr="004618D5">
        <w:rPr>
          <w:lang w:val="fr-FR"/>
        </w:rPr>
        <w:t>en l</w:t>
      </w:r>
      <w:r w:rsidR="004618D5" w:rsidRPr="004618D5">
        <w:rPr>
          <w:lang w:val="fr-FR"/>
        </w:rPr>
        <w:t>’</w:t>
      </w:r>
      <w:r w:rsidRPr="004618D5">
        <w:rPr>
          <w:lang w:val="fr-FR"/>
        </w:rPr>
        <w:t xml:space="preserve">espèce, les requérants ont </w:t>
      </w:r>
      <w:r w:rsidR="0030282F" w:rsidRPr="004618D5">
        <w:rPr>
          <w:lang w:val="fr-FR"/>
        </w:rPr>
        <w:t xml:space="preserve">réclamé </w:t>
      </w:r>
      <w:r w:rsidRPr="004618D5">
        <w:rPr>
          <w:lang w:val="fr-FR"/>
        </w:rPr>
        <w:t>l</w:t>
      </w:r>
      <w:r w:rsidR="004618D5" w:rsidRPr="004618D5">
        <w:rPr>
          <w:lang w:val="fr-FR"/>
        </w:rPr>
        <w:t>’</w:t>
      </w:r>
      <w:r w:rsidRPr="004618D5">
        <w:rPr>
          <w:lang w:val="fr-FR"/>
        </w:rPr>
        <w:t>octroi d</w:t>
      </w:r>
      <w:r w:rsidR="004618D5" w:rsidRPr="004618D5">
        <w:rPr>
          <w:lang w:val="fr-FR"/>
        </w:rPr>
        <w:t>’</w:t>
      </w:r>
      <w:r w:rsidRPr="004618D5">
        <w:rPr>
          <w:lang w:val="fr-FR"/>
        </w:rPr>
        <w:t xml:space="preserve">un permis de séjour </w:t>
      </w:r>
      <w:r w:rsidR="00176177" w:rsidRPr="004618D5">
        <w:rPr>
          <w:lang w:val="fr-FR"/>
        </w:rPr>
        <w:t>pour raison familiale</w:t>
      </w:r>
      <w:r w:rsidRPr="004618D5">
        <w:rPr>
          <w:lang w:val="fr-FR"/>
        </w:rPr>
        <w:t xml:space="preserve">. </w:t>
      </w:r>
      <w:r w:rsidR="00176177" w:rsidRPr="004618D5">
        <w:rPr>
          <w:lang w:val="fr-FR"/>
        </w:rPr>
        <w:t xml:space="preserve">Il </w:t>
      </w:r>
      <w:r w:rsidR="002F01D0" w:rsidRPr="004618D5">
        <w:rPr>
          <w:lang w:val="fr-FR"/>
        </w:rPr>
        <w:t>estim</w:t>
      </w:r>
      <w:r w:rsidR="00176177" w:rsidRPr="004618D5">
        <w:rPr>
          <w:lang w:val="fr-FR"/>
        </w:rPr>
        <w:t>e que l</w:t>
      </w:r>
      <w:r w:rsidRPr="004618D5">
        <w:rPr>
          <w:lang w:val="fr-FR"/>
        </w:rPr>
        <w:t xml:space="preserve">a discrimination </w:t>
      </w:r>
      <w:r w:rsidR="002F01D0" w:rsidRPr="004618D5">
        <w:rPr>
          <w:lang w:val="fr-FR"/>
        </w:rPr>
        <w:t>dont ils disent avoir fait l</w:t>
      </w:r>
      <w:r w:rsidR="004618D5" w:rsidRPr="004618D5">
        <w:rPr>
          <w:lang w:val="fr-FR"/>
        </w:rPr>
        <w:t>’</w:t>
      </w:r>
      <w:r w:rsidR="002F01D0" w:rsidRPr="004618D5">
        <w:rPr>
          <w:lang w:val="fr-FR"/>
        </w:rPr>
        <w:t>objet</w:t>
      </w:r>
      <w:r w:rsidRPr="004618D5">
        <w:rPr>
          <w:lang w:val="fr-FR"/>
        </w:rPr>
        <w:t xml:space="preserve"> devrait être examinée </w:t>
      </w:r>
      <w:r w:rsidR="002F01D0" w:rsidRPr="004618D5">
        <w:rPr>
          <w:lang w:val="fr-FR"/>
        </w:rPr>
        <w:t>à la lumière de</w:t>
      </w:r>
      <w:r w:rsidRPr="004618D5">
        <w:rPr>
          <w:lang w:val="fr-FR"/>
        </w:rPr>
        <w:t xml:space="preserve"> la législation italienne pertinente</w:t>
      </w:r>
      <w:r w:rsidR="0030282F" w:rsidRPr="004618D5">
        <w:rPr>
          <w:lang w:val="fr-FR"/>
        </w:rPr>
        <w:t xml:space="preserve"> à ses yeux</w:t>
      </w:r>
      <w:r w:rsidRPr="004618D5">
        <w:rPr>
          <w:lang w:val="fr-FR"/>
        </w:rPr>
        <w:t>, à savoir les articles</w:t>
      </w:r>
      <w:r w:rsidR="003A152A" w:rsidRPr="004618D5">
        <w:rPr>
          <w:lang w:val="fr-FR"/>
        </w:rPr>
        <w:t> </w:t>
      </w:r>
      <w:r w:rsidRPr="004618D5">
        <w:rPr>
          <w:lang w:val="fr-FR"/>
        </w:rPr>
        <w:t>29 et 30 du décret législatif n</w:t>
      </w:r>
      <w:r w:rsidR="00B55B33" w:rsidRPr="004618D5">
        <w:rPr>
          <w:vertAlign w:val="superscript"/>
          <w:lang w:val="fr-FR"/>
        </w:rPr>
        <w:t>o</w:t>
      </w:r>
      <w:r w:rsidRPr="004618D5">
        <w:rPr>
          <w:lang w:val="fr-FR"/>
        </w:rPr>
        <w:t xml:space="preserve"> 286 de 1998 (paragraphes </w:t>
      </w:r>
      <w:r w:rsidR="003C71B5" w:rsidRPr="004618D5">
        <w:rPr>
          <w:lang w:val="fr-FR"/>
        </w:rPr>
        <w:t>28</w:t>
      </w:r>
      <w:r w:rsidRPr="004618D5">
        <w:rPr>
          <w:lang w:val="fr-FR"/>
        </w:rPr>
        <w:t xml:space="preserve"> et </w:t>
      </w:r>
      <w:r w:rsidR="003C71B5" w:rsidRPr="004618D5">
        <w:rPr>
          <w:lang w:val="fr-FR"/>
        </w:rPr>
        <w:t>27</w:t>
      </w:r>
      <w:r w:rsidR="004618D5" w:rsidRPr="004618D5">
        <w:rPr>
          <w:lang w:val="fr-FR"/>
        </w:rPr>
        <w:t xml:space="preserve"> ci</w:t>
      </w:r>
      <w:r w:rsidR="004618D5" w:rsidRPr="004618D5">
        <w:rPr>
          <w:lang w:val="fr-FR"/>
        </w:rPr>
        <w:noBreakHyphen/>
      </w:r>
      <w:r w:rsidRPr="004618D5">
        <w:rPr>
          <w:lang w:val="fr-FR"/>
        </w:rPr>
        <w:t xml:space="preserve">dessus). </w:t>
      </w:r>
      <w:r w:rsidR="002F01D0" w:rsidRPr="004618D5">
        <w:rPr>
          <w:lang w:val="fr-FR"/>
        </w:rPr>
        <w:t>Il est d</w:t>
      </w:r>
      <w:r w:rsidR="004618D5" w:rsidRPr="004618D5">
        <w:rPr>
          <w:lang w:val="fr-FR"/>
        </w:rPr>
        <w:t>’</w:t>
      </w:r>
      <w:r w:rsidR="002F01D0" w:rsidRPr="004618D5">
        <w:rPr>
          <w:lang w:val="fr-FR"/>
        </w:rPr>
        <w:t>avis que, a</w:t>
      </w:r>
      <w:r w:rsidRPr="004618D5">
        <w:rPr>
          <w:lang w:val="fr-FR"/>
        </w:rPr>
        <w:t xml:space="preserve">ux termes de </w:t>
      </w:r>
      <w:r w:rsidR="009B345B" w:rsidRPr="004618D5">
        <w:rPr>
          <w:lang w:val="fr-FR"/>
        </w:rPr>
        <w:t>ces articles</w:t>
      </w:r>
      <w:r w:rsidRPr="004618D5">
        <w:rPr>
          <w:lang w:val="fr-FR"/>
        </w:rPr>
        <w:t xml:space="preserve">, la condition de </w:t>
      </w:r>
      <w:r w:rsidRPr="004618D5">
        <w:rPr>
          <w:lang w:val="fr-FR"/>
        </w:rPr>
        <w:lastRenderedPageBreak/>
        <w:t xml:space="preserve">partenaire </w:t>
      </w:r>
      <w:r w:rsidRPr="004618D5">
        <w:rPr>
          <w:i/>
          <w:lang w:val="fr-FR"/>
        </w:rPr>
        <w:t>de facto</w:t>
      </w:r>
      <w:r w:rsidRPr="004618D5">
        <w:rPr>
          <w:lang w:val="fr-FR"/>
        </w:rPr>
        <w:t xml:space="preserve"> ne donne pas </w:t>
      </w:r>
      <w:r w:rsidR="002F01D0" w:rsidRPr="004618D5">
        <w:rPr>
          <w:lang w:val="fr-FR"/>
        </w:rPr>
        <w:t xml:space="preserve">à celui-ci </w:t>
      </w:r>
      <w:r w:rsidRPr="004618D5">
        <w:rPr>
          <w:lang w:val="fr-FR"/>
        </w:rPr>
        <w:t xml:space="preserve">la qualité de « membre de la famille ». </w:t>
      </w:r>
      <w:r w:rsidR="002F01D0" w:rsidRPr="004618D5">
        <w:rPr>
          <w:lang w:val="fr-FR"/>
        </w:rPr>
        <w:t>Il indique</w:t>
      </w:r>
      <w:r w:rsidRPr="004618D5">
        <w:rPr>
          <w:lang w:val="fr-FR"/>
        </w:rPr>
        <w:t xml:space="preserve"> de surcroît que le décret législatif n</w:t>
      </w:r>
      <w:r w:rsidR="00B55B33" w:rsidRPr="004618D5">
        <w:rPr>
          <w:vertAlign w:val="superscript"/>
          <w:lang w:val="fr-FR"/>
        </w:rPr>
        <w:t>o</w:t>
      </w:r>
      <w:r w:rsidRPr="004618D5">
        <w:rPr>
          <w:lang w:val="fr-FR"/>
        </w:rPr>
        <w:t xml:space="preserve"> 30 du 6 février 2007 a donné exécution à la directive européenne </w:t>
      </w:r>
      <w:r w:rsidR="0030282F" w:rsidRPr="004618D5">
        <w:rPr>
          <w:lang w:val="fr-FR"/>
        </w:rPr>
        <w:t>n</w:t>
      </w:r>
      <w:r w:rsidR="00B55B33" w:rsidRPr="004618D5">
        <w:rPr>
          <w:vertAlign w:val="superscript"/>
          <w:lang w:val="fr-FR"/>
        </w:rPr>
        <w:t>o</w:t>
      </w:r>
      <w:r w:rsidR="0030282F" w:rsidRPr="004618D5">
        <w:rPr>
          <w:lang w:val="fr-FR"/>
        </w:rPr>
        <w:t xml:space="preserve"> </w:t>
      </w:r>
      <w:r w:rsidRPr="004618D5">
        <w:rPr>
          <w:lang w:val="fr-FR"/>
        </w:rPr>
        <w:t>2004/38/CE (paragraphes </w:t>
      </w:r>
      <w:r w:rsidR="003C71B5" w:rsidRPr="004618D5">
        <w:rPr>
          <w:lang w:val="fr-FR" w:eastAsia="en-GB"/>
        </w:rPr>
        <w:t>29</w:t>
      </w:r>
      <w:r w:rsidRPr="004618D5">
        <w:rPr>
          <w:lang w:val="fr-FR"/>
        </w:rPr>
        <w:t>-</w:t>
      </w:r>
      <w:r w:rsidR="003C71B5" w:rsidRPr="004618D5">
        <w:rPr>
          <w:lang w:val="fr-FR" w:eastAsia="en-GB"/>
        </w:rPr>
        <w:t>30</w:t>
      </w:r>
      <w:r w:rsidR="007F4ED4" w:rsidRPr="004618D5">
        <w:rPr>
          <w:lang w:val="fr-FR"/>
        </w:rPr>
        <w:t xml:space="preserve"> ci</w:t>
      </w:r>
      <w:r w:rsidR="007F4ED4" w:rsidRPr="004618D5">
        <w:rPr>
          <w:lang w:val="fr-FR"/>
        </w:rPr>
        <w:noBreakHyphen/>
      </w:r>
      <w:r w:rsidRPr="004618D5">
        <w:rPr>
          <w:lang w:val="fr-FR"/>
        </w:rPr>
        <w:t xml:space="preserve">dessus), </w:t>
      </w:r>
      <w:r w:rsidR="000B19FF" w:rsidRPr="004618D5">
        <w:rPr>
          <w:lang w:val="fr-FR"/>
        </w:rPr>
        <w:t>selon laquelle</w:t>
      </w:r>
      <w:r w:rsidRPr="004618D5">
        <w:rPr>
          <w:lang w:val="fr-FR"/>
        </w:rPr>
        <w:t xml:space="preserve"> le « membre de la famille » </w:t>
      </w:r>
      <w:r w:rsidR="0030282F" w:rsidRPr="004618D5">
        <w:rPr>
          <w:lang w:val="fr-FR"/>
        </w:rPr>
        <w:t>est</w:t>
      </w:r>
      <w:r w:rsidRPr="004618D5">
        <w:rPr>
          <w:lang w:val="fr-FR"/>
        </w:rPr>
        <w:t>, entre autres, « </w:t>
      </w:r>
      <w:r w:rsidRPr="004618D5">
        <w:rPr>
          <w:rFonts w:eastAsiaTheme="minorHAnsi"/>
          <w:lang w:val="fr-FR"/>
        </w:rPr>
        <w:t xml:space="preserve">le partenaire avec lequel le citoyen de </w:t>
      </w:r>
      <w:r w:rsidR="00455767" w:rsidRPr="004618D5">
        <w:rPr>
          <w:lang w:val="fr-FR"/>
        </w:rPr>
        <w:t>l</w:t>
      </w:r>
      <w:r w:rsidR="004618D5" w:rsidRPr="004618D5">
        <w:rPr>
          <w:lang w:val="fr-FR"/>
        </w:rPr>
        <w:t>’</w:t>
      </w:r>
      <w:r w:rsidR="00455767" w:rsidRPr="004618D5">
        <w:rPr>
          <w:lang w:val="fr-FR"/>
        </w:rPr>
        <w:t>[UE]</w:t>
      </w:r>
      <w:r w:rsidRPr="004618D5">
        <w:rPr>
          <w:rFonts w:eastAsiaTheme="minorHAnsi"/>
          <w:lang w:val="fr-FR"/>
        </w:rPr>
        <w:t xml:space="preserve"> a contracté un partenariat enregistré, sur la base de la législation d</w:t>
      </w:r>
      <w:r w:rsidR="004618D5" w:rsidRPr="004618D5">
        <w:rPr>
          <w:rFonts w:eastAsiaTheme="minorHAnsi"/>
          <w:lang w:val="fr-FR"/>
        </w:rPr>
        <w:t>’</w:t>
      </w:r>
      <w:r w:rsidRPr="004618D5">
        <w:rPr>
          <w:rFonts w:eastAsiaTheme="minorHAnsi"/>
          <w:lang w:val="fr-FR"/>
        </w:rPr>
        <w:t>un État membre, si, conformément à la législation de l</w:t>
      </w:r>
      <w:r w:rsidR="004618D5" w:rsidRPr="004618D5">
        <w:rPr>
          <w:rFonts w:eastAsiaTheme="minorHAnsi"/>
          <w:lang w:val="fr-FR"/>
        </w:rPr>
        <w:t>’</w:t>
      </w:r>
      <w:r w:rsidRPr="004618D5">
        <w:rPr>
          <w:rFonts w:eastAsiaTheme="minorHAnsi"/>
          <w:lang w:val="fr-FR"/>
        </w:rPr>
        <w:t>État membre d</w:t>
      </w:r>
      <w:r w:rsidR="004618D5" w:rsidRPr="004618D5">
        <w:rPr>
          <w:rFonts w:eastAsiaTheme="minorHAnsi"/>
          <w:lang w:val="fr-FR"/>
        </w:rPr>
        <w:t>’</w:t>
      </w:r>
      <w:r w:rsidRPr="004618D5">
        <w:rPr>
          <w:rFonts w:eastAsiaTheme="minorHAnsi"/>
          <w:lang w:val="fr-FR"/>
        </w:rPr>
        <w:t>accueil, les partenariats enregistrés sont équivalents au mariage, et dans le respect des conditions prévues par la législation pertinente de l</w:t>
      </w:r>
      <w:r w:rsidR="004618D5" w:rsidRPr="004618D5">
        <w:rPr>
          <w:rFonts w:eastAsiaTheme="minorHAnsi"/>
          <w:lang w:val="fr-FR"/>
        </w:rPr>
        <w:t>’</w:t>
      </w:r>
      <w:r w:rsidRPr="004618D5">
        <w:rPr>
          <w:rFonts w:eastAsiaTheme="minorHAnsi"/>
          <w:lang w:val="fr-FR"/>
        </w:rPr>
        <w:t>État membre d</w:t>
      </w:r>
      <w:r w:rsidR="004618D5" w:rsidRPr="004618D5">
        <w:rPr>
          <w:rFonts w:eastAsiaTheme="minorHAnsi"/>
          <w:lang w:val="fr-FR"/>
        </w:rPr>
        <w:t>’</w:t>
      </w:r>
      <w:r w:rsidRPr="004618D5">
        <w:rPr>
          <w:rFonts w:eastAsiaTheme="minorHAnsi"/>
          <w:lang w:val="fr-FR"/>
        </w:rPr>
        <w:t>accueil ». Or</w:t>
      </w:r>
      <w:r w:rsidR="000B19FF" w:rsidRPr="004618D5">
        <w:rPr>
          <w:rFonts w:eastAsiaTheme="minorHAnsi"/>
          <w:lang w:val="fr-FR"/>
        </w:rPr>
        <w:t>, aux yeux du Gouvernement,</w:t>
      </w:r>
      <w:r w:rsidRPr="004618D5">
        <w:rPr>
          <w:rFonts w:eastAsiaTheme="minorHAnsi"/>
          <w:lang w:val="fr-FR"/>
        </w:rPr>
        <w:t xml:space="preserve"> le partenariat des requérants </w:t>
      </w:r>
      <w:r w:rsidR="000B19FF" w:rsidRPr="004618D5">
        <w:rPr>
          <w:rFonts w:eastAsiaTheme="minorHAnsi"/>
          <w:lang w:val="fr-FR"/>
        </w:rPr>
        <w:t>ayant été contracté en Nouvelle-Zélande, soit en dehors de l</w:t>
      </w:r>
      <w:r w:rsidR="004618D5" w:rsidRPr="004618D5">
        <w:rPr>
          <w:rFonts w:eastAsiaTheme="minorHAnsi"/>
          <w:lang w:val="fr-FR"/>
        </w:rPr>
        <w:t>’</w:t>
      </w:r>
      <w:r w:rsidR="000B19FF" w:rsidRPr="004618D5">
        <w:rPr>
          <w:rFonts w:eastAsiaTheme="minorHAnsi"/>
          <w:lang w:val="fr-FR"/>
        </w:rPr>
        <w:t xml:space="preserve">UE, il </w:t>
      </w:r>
      <w:r w:rsidRPr="004618D5">
        <w:rPr>
          <w:rFonts w:eastAsiaTheme="minorHAnsi"/>
          <w:lang w:val="fr-FR"/>
        </w:rPr>
        <w:t>ne pouvait pas être reconnu aux termes de cette disposition.</w:t>
      </w:r>
    </w:p>
    <w:p w:rsidR="00F21629" w:rsidRPr="004618D5" w:rsidRDefault="00F21629" w:rsidP="004618D5">
      <w:pPr>
        <w:pStyle w:val="ECHRPara"/>
        <w:rPr>
          <w:lang w:val="fr-FR" w:eastAsia="en-GB"/>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45</w:t>
      </w:r>
      <w:r w:rsidRPr="004618D5">
        <w:rPr>
          <w:lang w:val="fr-FR"/>
        </w:rPr>
        <w:fldChar w:fldCharType="end"/>
      </w:r>
      <w:r w:rsidRPr="004618D5">
        <w:rPr>
          <w:lang w:val="fr-FR"/>
        </w:rPr>
        <w:t>.  </w:t>
      </w:r>
      <w:r w:rsidR="00176177" w:rsidRPr="004618D5">
        <w:rPr>
          <w:lang w:val="fr-FR"/>
        </w:rPr>
        <w:t xml:space="preserve">Le Gouvernement </w:t>
      </w:r>
      <w:r w:rsidR="000B19FF" w:rsidRPr="004618D5">
        <w:rPr>
          <w:lang w:val="fr-FR"/>
        </w:rPr>
        <w:t>indique encore</w:t>
      </w:r>
      <w:r w:rsidRPr="004618D5">
        <w:rPr>
          <w:lang w:val="fr-FR"/>
        </w:rPr>
        <w:t xml:space="preserve"> qu</w:t>
      </w:r>
      <w:r w:rsidR="00176177" w:rsidRPr="004618D5">
        <w:rPr>
          <w:lang w:val="fr-FR"/>
        </w:rPr>
        <w:t xml:space="preserve">e, </w:t>
      </w:r>
      <w:r w:rsidRPr="004618D5">
        <w:rPr>
          <w:lang w:val="fr-FR"/>
        </w:rPr>
        <w:t>aux termes de l</w:t>
      </w:r>
      <w:r w:rsidR="004618D5" w:rsidRPr="004618D5">
        <w:rPr>
          <w:lang w:val="fr-FR"/>
        </w:rPr>
        <w:t>’</w:t>
      </w:r>
      <w:r w:rsidRPr="004618D5">
        <w:rPr>
          <w:lang w:val="fr-FR"/>
        </w:rPr>
        <w:t>article</w:t>
      </w:r>
      <w:r w:rsidR="005717F9" w:rsidRPr="004618D5">
        <w:rPr>
          <w:lang w:val="fr-FR"/>
        </w:rPr>
        <w:t> </w:t>
      </w:r>
      <w:r w:rsidRPr="004618D5">
        <w:rPr>
          <w:lang w:val="fr-FR"/>
        </w:rPr>
        <w:t>3 §</w:t>
      </w:r>
      <w:r w:rsidR="005717F9" w:rsidRPr="004618D5">
        <w:rPr>
          <w:lang w:val="fr-FR"/>
        </w:rPr>
        <w:t> </w:t>
      </w:r>
      <w:r w:rsidRPr="004618D5">
        <w:rPr>
          <w:lang w:val="fr-FR"/>
        </w:rPr>
        <w:t xml:space="preserve">1 de la directive susmentionnée, </w:t>
      </w:r>
      <w:r w:rsidR="0030282F" w:rsidRPr="004618D5">
        <w:rPr>
          <w:lang w:val="fr-FR"/>
        </w:rPr>
        <w:t xml:space="preserve">qui a été </w:t>
      </w:r>
      <w:r w:rsidRPr="004618D5">
        <w:rPr>
          <w:lang w:val="fr-FR"/>
        </w:rPr>
        <w:t>transposé en droit italien par la loi</w:t>
      </w:r>
      <w:r w:rsidR="00C268E8" w:rsidRPr="004618D5">
        <w:rPr>
          <w:lang w:val="fr-FR"/>
        </w:rPr>
        <w:t> </w:t>
      </w:r>
      <w:r w:rsidRPr="004618D5">
        <w:rPr>
          <w:lang w:val="fr-FR"/>
        </w:rPr>
        <w:t>n</w:t>
      </w:r>
      <w:r w:rsidR="00B55B33" w:rsidRPr="004618D5">
        <w:rPr>
          <w:vertAlign w:val="superscript"/>
          <w:lang w:val="fr-FR"/>
        </w:rPr>
        <w:t>o</w:t>
      </w:r>
      <w:r w:rsidR="00EE6B21" w:rsidRPr="004618D5">
        <w:rPr>
          <w:vertAlign w:val="superscript"/>
          <w:lang w:val="fr-FR"/>
        </w:rPr>
        <w:t> </w:t>
      </w:r>
      <w:r w:rsidRPr="004618D5">
        <w:rPr>
          <w:lang w:val="fr-FR"/>
        </w:rPr>
        <w:t>97 du 6</w:t>
      </w:r>
      <w:r w:rsidR="006A002F" w:rsidRPr="004618D5">
        <w:rPr>
          <w:lang w:val="fr-FR"/>
        </w:rPr>
        <w:t> </w:t>
      </w:r>
      <w:r w:rsidRPr="004618D5">
        <w:rPr>
          <w:lang w:val="fr-FR"/>
        </w:rPr>
        <w:t>août</w:t>
      </w:r>
      <w:r w:rsidR="006A002F" w:rsidRPr="004618D5">
        <w:rPr>
          <w:lang w:val="fr-FR"/>
        </w:rPr>
        <w:t> </w:t>
      </w:r>
      <w:r w:rsidRPr="004618D5">
        <w:rPr>
          <w:lang w:val="fr-FR"/>
        </w:rPr>
        <w:t xml:space="preserve">2013 (paragraphe </w:t>
      </w:r>
      <w:r w:rsidR="003C71B5" w:rsidRPr="004618D5">
        <w:rPr>
          <w:lang w:val="fr-FR" w:eastAsia="en-GB"/>
        </w:rPr>
        <w:t>30</w:t>
      </w:r>
      <w:r w:rsidRPr="004618D5">
        <w:rPr>
          <w:lang w:val="fr-FR"/>
        </w:rPr>
        <w:t xml:space="preserve"> ci-dessus), l</w:t>
      </w:r>
      <w:r w:rsidR="004618D5" w:rsidRPr="004618D5">
        <w:rPr>
          <w:lang w:val="fr-FR"/>
        </w:rPr>
        <w:t>’</w:t>
      </w:r>
      <w:r w:rsidRPr="004618D5">
        <w:rPr>
          <w:lang w:val="fr-FR"/>
        </w:rPr>
        <w:t>État d</w:t>
      </w:r>
      <w:r w:rsidR="004618D5" w:rsidRPr="004618D5">
        <w:rPr>
          <w:lang w:val="fr-FR"/>
        </w:rPr>
        <w:t>’</w:t>
      </w:r>
      <w:r w:rsidRPr="004618D5">
        <w:rPr>
          <w:lang w:val="fr-FR"/>
        </w:rPr>
        <w:t>accueil doit favoriser le séjour des personnes suivantes</w:t>
      </w:r>
      <w:r w:rsidR="000B19FF" w:rsidRPr="004618D5">
        <w:rPr>
          <w:lang w:val="fr-FR"/>
        </w:rPr>
        <w:t>. Il cite ce qui suit</w:t>
      </w:r>
      <w:r w:rsidRPr="004618D5">
        <w:rPr>
          <w:lang w:val="fr-FR"/>
        </w:rPr>
        <w:t> : « a)</w:t>
      </w:r>
      <w:r w:rsidR="000B19FF" w:rsidRPr="004618D5">
        <w:rPr>
          <w:lang w:val="fr-FR"/>
        </w:rPr>
        <w:t>  </w:t>
      </w:r>
      <w:r w:rsidRPr="004618D5">
        <w:rPr>
          <w:lang w:val="fr-FR" w:eastAsia="en-GB"/>
        </w:rPr>
        <w:t>tout autre membre de la famille, quelle que soit sa nationalité, (</w:t>
      </w:r>
      <w:r w:rsidR="00B55B33" w:rsidRPr="004618D5">
        <w:rPr>
          <w:lang w:val="fr-FR" w:eastAsia="en-GB"/>
        </w:rPr>
        <w:t>...</w:t>
      </w:r>
      <w:r w:rsidRPr="004618D5">
        <w:rPr>
          <w:lang w:val="fr-FR" w:eastAsia="en-GB"/>
        </w:rPr>
        <w:t xml:space="preserve">) lorsque, pour des raisons de santé graves, le citoyen de </w:t>
      </w:r>
      <w:r w:rsidR="00455767" w:rsidRPr="004618D5">
        <w:rPr>
          <w:lang w:val="fr-FR"/>
        </w:rPr>
        <w:t>l</w:t>
      </w:r>
      <w:r w:rsidR="004618D5" w:rsidRPr="004618D5">
        <w:rPr>
          <w:lang w:val="fr-FR"/>
        </w:rPr>
        <w:t>’</w:t>
      </w:r>
      <w:r w:rsidR="00455767" w:rsidRPr="004618D5">
        <w:rPr>
          <w:lang w:val="fr-FR"/>
        </w:rPr>
        <w:t>[UE]</w:t>
      </w:r>
      <w:r w:rsidRPr="004618D5">
        <w:rPr>
          <w:lang w:val="fr-FR" w:eastAsia="en-GB"/>
        </w:rPr>
        <w:t xml:space="preserve"> doit impérativement et personnellement s</w:t>
      </w:r>
      <w:r w:rsidR="004618D5" w:rsidRPr="004618D5">
        <w:rPr>
          <w:lang w:val="fr-FR" w:eastAsia="en-GB"/>
        </w:rPr>
        <w:t>’</w:t>
      </w:r>
      <w:r w:rsidRPr="004618D5">
        <w:rPr>
          <w:lang w:val="fr-FR" w:eastAsia="en-GB"/>
        </w:rPr>
        <w:t>occuper du membre de la famille concerné »</w:t>
      </w:r>
      <w:r w:rsidR="00176177" w:rsidRPr="004618D5">
        <w:rPr>
          <w:lang w:val="fr-FR" w:eastAsia="en-GB"/>
        </w:rPr>
        <w:t>,</w:t>
      </w:r>
      <w:r w:rsidRPr="004618D5">
        <w:rPr>
          <w:lang w:val="fr-FR" w:eastAsia="en-GB"/>
        </w:rPr>
        <w:t xml:space="preserve"> et « b)</w:t>
      </w:r>
      <w:r w:rsidR="000B19FF" w:rsidRPr="004618D5">
        <w:rPr>
          <w:lang w:val="fr-FR" w:eastAsia="en-GB"/>
        </w:rPr>
        <w:t>  </w:t>
      </w:r>
      <w:r w:rsidRPr="004618D5">
        <w:rPr>
          <w:lang w:val="fr-FR" w:eastAsia="en-GB"/>
        </w:rPr>
        <w:t xml:space="preserve">le partenaire avec lequel le citoyen de </w:t>
      </w:r>
      <w:r w:rsidR="00455767" w:rsidRPr="004618D5">
        <w:rPr>
          <w:lang w:val="fr-FR"/>
        </w:rPr>
        <w:t>l</w:t>
      </w:r>
      <w:r w:rsidR="004618D5" w:rsidRPr="004618D5">
        <w:rPr>
          <w:lang w:val="fr-FR"/>
        </w:rPr>
        <w:t>’</w:t>
      </w:r>
      <w:r w:rsidR="00455767" w:rsidRPr="004618D5">
        <w:rPr>
          <w:lang w:val="fr-FR"/>
        </w:rPr>
        <w:t>[UE]</w:t>
      </w:r>
      <w:r w:rsidRPr="004618D5">
        <w:rPr>
          <w:lang w:val="fr-FR" w:eastAsia="en-GB"/>
        </w:rPr>
        <w:t xml:space="preserve"> a une relation durable, dûment attestée ». </w:t>
      </w:r>
      <w:r w:rsidR="000B19FF" w:rsidRPr="004618D5">
        <w:rPr>
          <w:lang w:val="fr-FR" w:eastAsia="en-GB"/>
        </w:rPr>
        <w:t>Il considère que</w:t>
      </w:r>
      <w:r w:rsidRPr="004618D5">
        <w:rPr>
          <w:lang w:val="fr-FR" w:eastAsia="en-GB"/>
        </w:rPr>
        <w:t xml:space="preserve"> ces dispositions ne conféraient guère un droit à </w:t>
      </w:r>
      <w:r w:rsidR="0030282F" w:rsidRPr="004618D5">
        <w:rPr>
          <w:lang w:val="fr-FR" w:eastAsia="en-GB"/>
        </w:rPr>
        <w:t>l</w:t>
      </w:r>
      <w:r w:rsidR="004618D5" w:rsidRPr="004618D5">
        <w:rPr>
          <w:lang w:val="fr-FR" w:eastAsia="en-GB"/>
        </w:rPr>
        <w:t>’</w:t>
      </w:r>
      <w:r w:rsidR="0030282F" w:rsidRPr="004618D5">
        <w:rPr>
          <w:lang w:val="fr-FR" w:eastAsia="en-GB"/>
        </w:rPr>
        <w:t xml:space="preserve">obtention </w:t>
      </w:r>
      <w:r w:rsidRPr="004618D5">
        <w:rPr>
          <w:lang w:val="fr-FR" w:eastAsia="en-GB"/>
        </w:rPr>
        <w:t xml:space="preserve">du permis de séjour </w:t>
      </w:r>
      <w:r w:rsidR="0030282F" w:rsidRPr="004618D5">
        <w:rPr>
          <w:lang w:val="fr-FR" w:eastAsia="en-GB"/>
        </w:rPr>
        <w:t>demandé </w:t>
      </w:r>
      <w:r w:rsidRPr="004618D5">
        <w:rPr>
          <w:lang w:val="fr-FR" w:eastAsia="en-GB"/>
        </w:rPr>
        <w:t xml:space="preserve">: </w:t>
      </w:r>
      <w:r w:rsidR="000B19FF" w:rsidRPr="004618D5">
        <w:rPr>
          <w:lang w:val="fr-FR" w:eastAsia="en-GB"/>
        </w:rPr>
        <w:t xml:space="preserve">selon lui, </w:t>
      </w:r>
      <w:r w:rsidR="00176177" w:rsidRPr="004618D5">
        <w:rPr>
          <w:lang w:val="fr-FR" w:eastAsia="en-GB"/>
        </w:rPr>
        <w:t>d</w:t>
      </w:r>
      <w:r w:rsidR="004618D5" w:rsidRPr="004618D5">
        <w:rPr>
          <w:lang w:val="fr-FR" w:eastAsia="en-GB"/>
        </w:rPr>
        <w:t>’</w:t>
      </w:r>
      <w:r w:rsidR="00176177" w:rsidRPr="004618D5">
        <w:rPr>
          <w:lang w:val="fr-FR" w:eastAsia="en-GB"/>
        </w:rPr>
        <w:t>une part</w:t>
      </w:r>
      <w:r w:rsidRPr="004618D5">
        <w:rPr>
          <w:lang w:val="fr-FR" w:eastAsia="en-GB"/>
        </w:rPr>
        <w:t xml:space="preserve">, la personne malade était le premier requérant, citoyen italien ; </w:t>
      </w:r>
      <w:r w:rsidR="00176177" w:rsidRPr="004618D5">
        <w:rPr>
          <w:lang w:val="fr-FR" w:eastAsia="en-GB"/>
        </w:rPr>
        <w:t>d</w:t>
      </w:r>
      <w:r w:rsidR="004618D5" w:rsidRPr="004618D5">
        <w:rPr>
          <w:lang w:val="fr-FR" w:eastAsia="en-GB"/>
        </w:rPr>
        <w:t>’</w:t>
      </w:r>
      <w:r w:rsidR="00176177" w:rsidRPr="004618D5">
        <w:rPr>
          <w:lang w:val="fr-FR" w:eastAsia="en-GB"/>
        </w:rPr>
        <w:t>autre part</w:t>
      </w:r>
      <w:r w:rsidRPr="004618D5">
        <w:rPr>
          <w:lang w:val="fr-FR" w:eastAsia="en-GB"/>
        </w:rPr>
        <w:t>, il appart</w:t>
      </w:r>
      <w:r w:rsidR="00176177" w:rsidRPr="004618D5">
        <w:rPr>
          <w:lang w:val="fr-FR" w:eastAsia="en-GB"/>
        </w:rPr>
        <w:t>enait</w:t>
      </w:r>
      <w:r w:rsidRPr="004618D5">
        <w:rPr>
          <w:lang w:val="fr-FR" w:eastAsia="en-GB"/>
        </w:rPr>
        <w:t xml:space="preserve"> aux États qui, comme l</w:t>
      </w:r>
      <w:r w:rsidR="004618D5" w:rsidRPr="004618D5">
        <w:rPr>
          <w:lang w:val="fr-FR" w:eastAsia="en-GB"/>
        </w:rPr>
        <w:t>’</w:t>
      </w:r>
      <w:r w:rsidRPr="004618D5">
        <w:rPr>
          <w:lang w:val="fr-FR" w:eastAsia="en-GB"/>
        </w:rPr>
        <w:t xml:space="preserve">Italie, ne garantissent pas </w:t>
      </w:r>
      <w:r w:rsidRPr="004618D5">
        <w:rPr>
          <w:lang w:val="fr-FR"/>
        </w:rPr>
        <w:t>aux couples homosexuels un mode de reconnaissance juridique,</w:t>
      </w:r>
      <w:r w:rsidRPr="004618D5">
        <w:rPr>
          <w:lang w:val="fr-FR" w:eastAsia="en-GB"/>
        </w:rPr>
        <w:t xml:space="preserve"> de décider si les conditions </w:t>
      </w:r>
      <w:r w:rsidR="0030282F" w:rsidRPr="004618D5">
        <w:rPr>
          <w:lang w:val="fr-FR" w:eastAsia="en-GB"/>
        </w:rPr>
        <w:t>d</w:t>
      </w:r>
      <w:r w:rsidR="004618D5" w:rsidRPr="004618D5">
        <w:rPr>
          <w:lang w:val="fr-FR" w:eastAsia="en-GB"/>
        </w:rPr>
        <w:t>’</w:t>
      </w:r>
      <w:r w:rsidR="0030282F" w:rsidRPr="004618D5">
        <w:rPr>
          <w:lang w:val="fr-FR" w:eastAsia="en-GB"/>
        </w:rPr>
        <w:t>obtention du</w:t>
      </w:r>
      <w:r w:rsidRPr="004618D5">
        <w:rPr>
          <w:lang w:val="fr-FR" w:eastAsia="en-GB"/>
        </w:rPr>
        <w:t xml:space="preserve"> permis </w:t>
      </w:r>
      <w:r w:rsidR="0030282F" w:rsidRPr="004618D5">
        <w:rPr>
          <w:lang w:val="fr-FR" w:eastAsia="en-GB"/>
        </w:rPr>
        <w:t xml:space="preserve">de séjour </w:t>
      </w:r>
      <w:r w:rsidR="006A002F" w:rsidRPr="004618D5">
        <w:rPr>
          <w:lang w:val="fr-FR" w:eastAsia="en-GB"/>
        </w:rPr>
        <w:t xml:space="preserve">étaient </w:t>
      </w:r>
      <w:r w:rsidRPr="004618D5">
        <w:rPr>
          <w:lang w:val="fr-FR" w:eastAsia="en-GB"/>
        </w:rPr>
        <w:t>remplies. L</w:t>
      </w:r>
      <w:r w:rsidR="00C4390F" w:rsidRPr="004618D5">
        <w:rPr>
          <w:lang w:val="fr-FR" w:eastAsia="en-GB"/>
        </w:rPr>
        <w:t>e Gouvernement conclut sur ce point que l</w:t>
      </w:r>
      <w:r w:rsidRPr="004618D5">
        <w:rPr>
          <w:lang w:val="fr-FR" w:eastAsia="en-GB"/>
        </w:rPr>
        <w:t>es décisions adoptées par les autorités italiennes en l</w:t>
      </w:r>
      <w:r w:rsidR="004618D5" w:rsidRPr="004618D5">
        <w:rPr>
          <w:lang w:val="fr-FR" w:eastAsia="en-GB"/>
        </w:rPr>
        <w:t>’</w:t>
      </w:r>
      <w:r w:rsidRPr="004618D5">
        <w:rPr>
          <w:lang w:val="fr-FR" w:eastAsia="en-GB"/>
        </w:rPr>
        <w:t xml:space="preserve">espèce </w:t>
      </w:r>
      <w:r w:rsidR="00C4390F" w:rsidRPr="004618D5">
        <w:rPr>
          <w:lang w:val="fr-FR" w:eastAsia="en-GB"/>
        </w:rPr>
        <w:t xml:space="preserve">étaient </w:t>
      </w:r>
      <w:r w:rsidRPr="004618D5">
        <w:rPr>
          <w:lang w:val="fr-FR" w:eastAsia="en-GB"/>
        </w:rPr>
        <w:t>conformes au droit de l</w:t>
      </w:r>
      <w:r w:rsidR="004618D5" w:rsidRPr="004618D5">
        <w:rPr>
          <w:lang w:val="fr-FR" w:eastAsia="en-GB"/>
        </w:rPr>
        <w:t>’</w:t>
      </w:r>
      <w:r w:rsidRPr="004618D5">
        <w:rPr>
          <w:lang w:val="fr-FR" w:eastAsia="en-GB"/>
        </w:rPr>
        <w:t>UE. En tout état de cause, le deuxième requérant n</w:t>
      </w:r>
      <w:r w:rsidR="004618D5" w:rsidRPr="004618D5">
        <w:rPr>
          <w:lang w:val="fr-FR" w:eastAsia="en-GB"/>
        </w:rPr>
        <w:t>’</w:t>
      </w:r>
      <w:r w:rsidRPr="004618D5">
        <w:rPr>
          <w:lang w:val="fr-FR" w:eastAsia="en-GB"/>
        </w:rPr>
        <w:t>a</w:t>
      </w:r>
      <w:r w:rsidR="00C4390F" w:rsidRPr="004618D5">
        <w:rPr>
          <w:lang w:val="fr-FR" w:eastAsia="en-GB"/>
        </w:rPr>
        <w:t>urait</w:t>
      </w:r>
      <w:r w:rsidRPr="004618D5">
        <w:rPr>
          <w:lang w:val="fr-FR" w:eastAsia="en-GB"/>
        </w:rPr>
        <w:t xml:space="preserve"> présenté aucune demande au sens de la loi</w:t>
      </w:r>
      <w:r w:rsidR="00E955EF" w:rsidRPr="004618D5">
        <w:rPr>
          <w:lang w:val="fr-FR" w:eastAsia="en-GB"/>
        </w:rPr>
        <w:t> </w:t>
      </w:r>
      <w:r w:rsidRPr="004618D5">
        <w:rPr>
          <w:lang w:val="fr-FR" w:eastAsia="en-GB"/>
        </w:rPr>
        <w:t>n</w:t>
      </w:r>
      <w:r w:rsidR="00B55B33" w:rsidRPr="004618D5">
        <w:rPr>
          <w:vertAlign w:val="superscript"/>
          <w:lang w:val="fr-FR" w:eastAsia="en-GB"/>
        </w:rPr>
        <w:t>o</w:t>
      </w:r>
      <w:r w:rsidR="007F4ED4" w:rsidRPr="004618D5">
        <w:rPr>
          <w:lang w:val="fr-FR" w:eastAsia="en-GB"/>
        </w:rPr>
        <w:t> </w:t>
      </w:r>
      <w:r w:rsidRPr="004618D5">
        <w:rPr>
          <w:lang w:val="fr-FR" w:eastAsia="en-GB"/>
        </w:rPr>
        <w:t xml:space="preserve">97 de 2013 et il ne </w:t>
      </w:r>
      <w:r w:rsidR="00C4390F" w:rsidRPr="004618D5">
        <w:rPr>
          <w:lang w:val="fr-FR" w:eastAsia="en-GB"/>
        </w:rPr>
        <w:t xml:space="preserve">se serait </w:t>
      </w:r>
      <w:r w:rsidRPr="004618D5">
        <w:rPr>
          <w:lang w:val="fr-FR" w:eastAsia="en-GB"/>
        </w:rPr>
        <w:t xml:space="preserve">pas inscrit </w:t>
      </w:r>
      <w:r w:rsidR="00176177" w:rsidRPr="004618D5">
        <w:rPr>
          <w:lang w:val="fr-FR" w:eastAsia="en-GB"/>
        </w:rPr>
        <w:t>au</w:t>
      </w:r>
      <w:r w:rsidRPr="004618D5">
        <w:rPr>
          <w:lang w:val="fr-FR" w:eastAsia="en-GB"/>
        </w:rPr>
        <w:t xml:space="preserve"> registre de la population résidente de Cecina (Livourne) en tant que personne cohabi</w:t>
      </w:r>
      <w:r w:rsidR="00B43864" w:rsidRPr="004618D5">
        <w:rPr>
          <w:lang w:val="fr-FR" w:eastAsia="en-GB"/>
        </w:rPr>
        <w:t>tant avec le premier requérant.</w:t>
      </w:r>
    </w:p>
    <w:p w:rsidR="00F21629" w:rsidRPr="004618D5" w:rsidRDefault="00F21629" w:rsidP="004618D5">
      <w:pPr>
        <w:pStyle w:val="ECHRPara"/>
        <w:rPr>
          <w:rFonts w:ascii="Times New Roman" w:hAnsi="Times New Roman" w:cs="Times New Roman"/>
          <w:szCs w:val="24"/>
          <w:lang w:val="fr-FR" w:eastAsia="en-GB"/>
        </w:rPr>
      </w:pPr>
      <w:r w:rsidRPr="004618D5">
        <w:rPr>
          <w:lang w:val="fr-FR" w:eastAsia="en-GB"/>
        </w:rPr>
        <w:fldChar w:fldCharType="begin"/>
      </w:r>
      <w:r w:rsidRPr="004618D5">
        <w:rPr>
          <w:lang w:val="fr-FR" w:eastAsia="en-GB"/>
        </w:rPr>
        <w:instrText xml:space="preserve"> SEQ level0 \*arabic </w:instrText>
      </w:r>
      <w:r w:rsidRPr="004618D5">
        <w:rPr>
          <w:lang w:val="fr-FR" w:eastAsia="en-GB"/>
        </w:rPr>
        <w:fldChar w:fldCharType="separate"/>
      </w:r>
      <w:r w:rsidR="004618D5" w:rsidRPr="004618D5">
        <w:rPr>
          <w:noProof/>
          <w:lang w:val="fr-FR" w:eastAsia="en-GB"/>
        </w:rPr>
        <w:t>46</w:t>
      </w:r>
      <w:r w:rsidRPr="004618D5">
        <w:rPr>
          <w:lang w:val="fr-FR" w:eastAsia="en-GB"/>
        </w:rPr>
        <w:fldChar w:fldCharType="end"/>
      </w:r>
      <w:r w:rsidRPr="004618D5">
        <w:rPr>
          <w:lang w:val="fr-FR" w:eastAsia="en-GB"/>
        </w:rPr>
        <w:t xml:space="preserve">.  Le Gouvernement </w:t>
      </w:r>
      <w:r w:rsidR="00C4390F" w:rsidRPr="004618D5">
        <w:rPr>
          <w:lang w:val="fr-FR" w:eastAsia="en-GB"/>
        </w:rPr>
        <w:t xml:space="preserve">souhaite </w:t>
      </w:r>
      <w:r w:rsidRPr="004618D5">
        <w:rPr>
          <w:lang w:val="fr-FR" w:eastAsia="en-GB"/>
        </w:rPr>
        <w:t xml:space="preserve">également </w:t>
      </w:r>
      <w:r w:rsidR="00C4390F" w:rsidRPr="004618D5">
        <w:rPr>
          <w:lang w:val="fr-FR" w:eastAsia="en-GB"/>
        </w:rPr>
        <w:t xml:space="preserve">indiquer </w:t>
      </w:r>
      <w:r w:rsidRPr="004618D5">
        <w:rPr>
          <w:lang w:val="fr-FR" w:eastAsia="en-GB"/>
        </w:rPr>
        <w:t>qu</w:t>
      </w:r>
      <w:r w:rsidR="00176177" w:rsidRPr="004618D5">
        <w:rPr>
          <w:lang w:val="fr-FR" w:eastAsia="en-GB"/>
        </w:rPr>
        <w:t xml:space="preserve">e, </w:t>
      </w:r>
      <w:r w:rsidRPr="004618D5">
        <w:rPr>
          <w:lang w:val="fr-FR" w:eastAsia="en-GB"/>
        </w:rPr>
        <w:t>aux termes de l</w:t>
      </w:r>
      <w:r w:rsidR="004618D5" w:rsidRPr="004618D5">
        <w:rPr>
          <w:lang w:val="fr-FR" w:eastAsia="en-GB"/>
        </w:rPr>
        <w:t>’</w:t>
      </w:r>
      <w:r w:rsidRPr="004618D5">
        <w:rPr>
          <w:lang w:val="fr-FR" w:eastAsia="en-GB"/>
        </w:rPr>
        <w:t>article</w:t>
      </w:r>
      <w:r w:rsidR="00DF727E" w:rsidRPr="004618D5">
        <w:rPr>
          <w:lang w:val="fr-FR" w:eastAsia="en-GB"/>
        </w:rPr>
        <w:t> </w:t>
      </w:r>
      <w:r w:rsidRPr="004618D5">
        <w:rPr>
          <w:lang w:val="fr-FR" w:eastAsia="en-GB"/>
        </w:rPr>
        <w:t xml:space="preserve">9 de la Charte des </w:t>
      </w:r>
      <w:r w:rsidRPr="004618D5">
        <w:rPr>
          <w:rFonts w:ascii="Times New Roman" w:hAnsi="Times New Roman" w:cs="Times New Roman"/>
          <w:szCs w:val="24"/>
          <w:lang w:val="fr-FR" w:eastAsia="en-GB"/>
        </w:rPr>
        <w:t>droits fondamentaux de l</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UE, « </w:t>
      </w:r>
      <w:r w:rsidR="00C4390F" w:rsidRPr="004618D5">
        <w:rPr>
          <w:rFonts w:ascii="Times New Roman" w:eastAsiaTheme="minorHAnsi" w:hAnsi="Times New Roman" w:cs="Times New Roman"/>
          <w:szCs w:val="24"/>
          <w:lang w:val="fr-FR"/>
        </w:rPr>
        <w:t>l</w:t>
      </w:r>
      <w:r w:rsidRPr="004618D5">
        <w:rPr>
          <w:rFonts w:ascii="Times New Roman" w:eastAsiaTheme="minorHAnsi" w:hAnsi="Times New Roman" w:cs="Times New Roman"/>
          <w:szCs w:val="24"/>
          <w:lang w:val="fr-FR"/>
        </w:rPr>
        <w:t xml:space="preserve">e droit de se marier et le droit de fonder une famille sont garantis </w:t>
      </w:r>
      <w:r w:rsidRPr="004618D5">
        <w:rPr>
          <w:rFonts w:ascii="Times New Roman" w:eastAsiaTheme="minorHAnsi" w:hAnsi="Times New Roman" w:cs="Times New Roman"/>
          <w:i/>
          <w:szCs w:val="24"/>
          <w:lang w:val="fr-FR"/>
        </w:rPr>
        <w:t>selon les lois nationales qui en régissent l</w:t>
      </w:r>
      <w:r w:rsidR="004618D5" w:rsidRPr="004618D5">
        <w:rPr>
          <w:rFonts w:ascii="Times New Roman" w:eastAsiaTheme="minorHAnsi" w:hAnsi="Times New Roman" w:cs="Times New Roman"/>
          <w:i/>
          <w:szCs w:val="24"/>
          <w:lang w:val="fr-FR"/>
        </w:rPr>
        <w:t>’</w:t>
      </w:r>
      <w:r w:rsidRPr="004618D5">
        <w:rPr>
          <w:rFonts w:ascii="Times New Roman" w:eastAsiaTheme="minorHAnsi" w:hAnsi="Times New Roman" w:cs="Times New Roman"/>
          <w:i/>
          <w:szCs w:val="24"/>
          <w:lang w:val="fr-FR"/>
        </w:rPr>
        <w:t>exercice</w:t>
      </w:r>
      <w:r w:rsidRPr="004618D5">
        <w:rPr>
          <w:rFonts w:ascii="Times New Roman" w:eastAsiaTheme="minorHAnsi" w:hAnsi="Times New Roman" w:cs="Times New Roman"/>
          <w:szCs w:val="24"/>
          <w:lang w:val="fr-FR"/>
        </w:rPr>
        <w:t xml:space="preserve"> » (italique ajouté). </w:t>
      </w:r>
      <w:r w:rsidR="0030282F" w:rsidRPr="004618D5">
        <w:rPr>
          <w:rFonts w:ascii="Times New Roman" w:eastAsiaTheme="minorHAnsi" w:hAnsi="Times New Roman" w:cs="Times New Roman"/>
          <w:szCs w:val="24"/>
          <w:lang w:val="fr-FR"/>
        </w:rPr>
        <w:t>À</w:t>
      </w:r>
      <w:r w:rsidR="00176177" w:rsidRPr="004618D5">
        <w:rPr>
          <w:rFonts w:ascii="Times New Roman" w:eastAsiaTheme="minorHAnsi" w:hAnsi="Times New Roman" w:cs="Times New Roman"/>
          <w:szCs w:val="24"/>
          <w:lang w:val="fr-FR"/>
        </w:rPr>
        <w:t xml:space="preserve"> ses yeux, </w:t>
      </w:r>
      <w:r w:rsidR="00966459" w:rsidRPr="004618D5">
        <w:rPr>
          <w:rFonts w:ascii="Times New Roman" w:eastAsiaTheme="minorHAnsi" w:hAnsi="Times New Roman" w:cs="Times New Roman"/>
          <w:szCs w:val="24"/>
          <w:lang w:val="fr-FR"/>
        </w:rPr>
        <w:t xml:space="preserve">il découle de </w:t>
      </w:r>
      <w:r w:rsidR="00176177" w:rsidRPr="004618D5">
        <w:rPr>
          <w:rFonts w:ascii="Times New Roman" w:eastAsiaTheme="minorHAnsi" w:hAnsi="Times New Roman" w:cs="Times New Roman"/>
          <w:szCs w:val="24"/>
          <w:lang w:val="fr-FR"/>
        </w:rPr>
        <w:t xml:space="preserve">cette disposition </w:t>
      </w:r>
      <w:r w:rsidR="0030282F" w:rsidRPr="004618D5">
        <w:rPr>
          <w:rFonts w:ascii="Times New Roman" w:eastAsiaTheme="minorHAnsi" w:hAnsi="Times New Roman" w:cs="Times New Roman"/>
          <w:szCs w:val="24"/>
          <w:lang w:val="fr-FR"/>
        </w:rPr>
        <w:t>que c</w:t>
      </w:r>
      <w:r w:rsidR="004618D5" w:rsidRPr="004618D5">
        <w:rPr>
          <w:rFonts w:ascii="Times New Roman" w:eastAsiaTheme="minorHAnsi" w:hAnsi="Times New Roman" w:cs="Times New Roman"/>
          <w:szCs w:val="24"/>
          <w:lang w:val="fr-FR"/>
        </w:rPr>
        <w:t>’</w:t>
      </w:r>
      <w:r w:rsidR="0030282F" w:rsidRPr="004618D5">
        <w:rPr>
          <w:rFonts w:ascii="Times New Roman" w:eastAsiaTheme="minorHAnsi" w:hAnsi="Times New Roman" w:cs="Times New Roman"/>
          <w:szCs w:val="24"/>
          <w:lang w:val="fr-FR"/>
        </w:rPr>
        <w:t>est aux États membres qu</w:t>
      </w:r>
      <w:r w:rsidR="004618D5" w:rsidRPr="004618D5">
        <w:rPr>
          <w:rFonts w:ascii="Times New Roman" w:eastAsiaTheme="minorHAnsi" w:hAnsi="Times New Roman" w:cs="Times New Roman"/>
          <w:szCs w:val="24"/>
          <w:lang w:val="fr-FR"/>
        </w:rPr>
        <w:t>’</w:t>
      </w:r>
      <w:r w:rsidR="0030282F" w:rsidRPr="004618D5">
        <w:rPr>
          <w:rFonts w:ascii="Times New Roman" w:eastAsiaTheme="minorHAnsi" w:hAnsi="Times New Roman" w:cs="Times New Roman"/>
          <w:szCs w:val="24"/>
          <w:lang w:val="fr-FR"/>
        </w:rPr>
        <w:t>est attribuée</w:t>
      </w:r>
      <w:r w:rsidR="00401EB7" w:rsidRPr="004618D5">
        <w:rPr>
          <w:rFonts w:ascii="Times New Roman" w:eastAsiaTheme="minorHAnsi" w:hAnsi="Times New Roman" w:cs="Times New Roman"/>
          <w:szCs w:val="24"/>
          <w:lang w:val="fr-FR"/>
        </w:rPr>
        <w:t xml:space="preserve"> la compétence</w:t>
      </w:r>
      <w:r w:rsidR="00176177" w:rsidRPr="004618D5">
        <w:rPr>
          <w:rFonts w:ascii="Times New Roman" w:eastAsiaTheme="minorHAnsi" w:hAnsi="Times New Roman" w:cs="Times New Roman"/>
          <w:szCs w:val="24"/>
          <w:lang w:val="fr-FR"/>
        </w:rPr>
        <w:t xml:space="preserve"> </w:t>
      </w:r>
      <w:r w:rsidR="0030282F" w:rsidRPr="004618D5">
        <w:rPr>
          <w:rFonts w:ascii="Times New Roman" w:eastAsiaTheme="minorHAnsi" w:hAnsi="Times New Roman" w:cs="Times New Roman"/>
          <w:szCs w:val="24"/>
          <w:lang w:val="fr-FR"/>
        </w:rPr>
        <w:t>en matière de réglementation de</w:t>
      </w:r>
      <w:r w:rsidR="00176177" w:rsidRPr="004618D5">
        <w:rPr>
          <w:rFonts w:ascii="Times New Roman" w:eastAsiaTheme="minorHAnsi" w:hAnsi="Times New Roman" w:cs="Times New Roman"/>
          <w:szCs w:val="24"/>
          <w:lang w:val="fr-FR"/>
        </w:rPr>
        <w:t xml:space="preserve"> ces droits</w:t>
      </w:r>
      <w:r w:rsidRPr="004618D5">
        <w:rPr>
          <w:rFonts w:ascii="Times New Roman" w:eastAsiaTheme="minorHAnsi" w:hAnsi="Times New Roman" w:cs="Times New Roman"/>
          <w:szCs w:val="24"/>
          <w:lang w:val="fr-FR"/>
        </w:rPr>
        <w:t>.</w:t>
      </w:r>
    </w:p>
    <w:p w:rsidR="00F21629" w:rsidRPr="004618D5" w:rsidRDefault="00F21629" w:rsidP="004618D5">
      <w:pPr>
        <w:pStyle w:val="ECHRPara"/>
        <w:rPr>
          <w:lang w:val="fr-FR"/>
        </w:rPr>
      </w:pPr>
      <w:r w:rsidRPr="004618D5">
        <w:rPr>
          <w:rFonts w:ascii="Times New Roman" w:hAnsi="Times New Roman" w:cs="Times New Roman"/>
          <w:szCs w:val="24"/>
          <w:lang w:val="fr-FR" w:eastAsia="en-GB"/>
        </w:rPr>
        <w:fldChar w:fldCharType="begin"/>
      </w:r>
      <w:r w:rsidRPr="004618D5">
        <w:rPr>
          <w:rFonts w:ascii="Times New Roman" w:hAnsi="Times New Roman" w:cs="Times New Roman"/>
          <w:szCs w:val="24"/>
          <w:lang w:val="fr-FR" w:eastAsia="en-GB"/>
        </w:rPr>
        <w:instrText xml:space="preserve"> SEQ level0 \*arabic </w:instrText>
      </w:r>
      <w:r w:rsidRPr="004618D5">
        <w:rPr>
          <w:rFonts w:ascii="Times New Roman" w:hAnsi="Times New Roman" w:cs="Times New Roman"/>
          <w:szCs w:val="24"/>
          <w:lang w:val="fr-FR" w:eastAsia="en-GB"/>
        </w:rPr>
        <w:fldChar w:fldCharType="separate"/>
      </w:r>
      <w:r w:rsidR="004618D5" w:rsidRPr="004618D5">
        <w:rPr>
          <w:rFonts w:ascii="Times New Roman" w:hAnsi="Times New Roman" w:cs="Times New Roman"/>
          <w:noProof/>
          <w:szCs w:val="24"/>
          <w:lang w:val="fr-FR" w:eastAsia="en-GB"/>
        </w:rPr>
        <w:t>47</w:t>
      </w:r>
      <w:r w:rsidRPr="004618D5">
        <w:rPr>
          <w:rFonts w:ascii="Times New Roman" w:hAnsi="Times New Roman" w:cs="Times New Roman"/>
          <w:szCs w:val="24"/>
          <w:lang w:val="fr-FR" w:eastAsia="en-GB"/>
        </w:rPr>
        <w:fldChar w:fldCharType="end"/>
      </w:r>
      <w:r w:rsidRPr="004618D5">
        <w:rPr>
          <w:rFonts w:ascii="Times New Roman" w:hAnsi="Times New Roman" w:cs="Times New Roman"/>
          <w:szCs w:val="24"/>
          <w:lang w:val="fr-FR" w:eastAsia="en-GB"/>
        </w:rPr>
        <w:t>.  À la lumière de ce qui précède, le Gouverne</w:t>
      </w:r>
      <w:r w:rsidR="00D36F61" w:rsidRPr="004618D5">
        <w:rPr>
          <w:rFonts w:ascii="Times New Roman" w:hAnsi="Times New Roman" w:cs="Times New Roman"/>
          <w:szCs w:val="24"/>
          <w:lang w:val="fr-FR" w:eastAsia="en-GB"/>
        </w:rPr>
        <w:t>ment considère que les articles </w:t>
      </w:r>
      <w:r w:rsidRPr="004618D5">
        <w:rPr>
          <w:rFonts w:ascii="Times New Roman" w:hAnsi="Times New Roman" w:cs="Times New Roman"/>
          <w:szCs w:val="24"/>
          <w:lang w:val="fr-FR" w:eastAsia="en-GB"/>
        </w:rPr>
        <w:t>8 et 14 de la Convention ne trouvent pas à s</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appliquer en l</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 xml:space="preserve">espèce, soit </w:t>
      </w:r>
      <w:r w:rsidR="00C4390F" w:rsidRPr="004618D5">
        <w:rPr>
          <w:rFonts w:ascii="Times New Roman" w:hAnsi="Times New Roman" w:cs="Times New Roman"/>
          <w:szCs w:val="24"/>
          <w:lang w:val="fr-FR" w:eastAsia="en-GB"/>
        </w:rPr>
        <w:t>en raison</w:t>
      </w:r>
      <w:r w:rsidRPr="004618D5">
        <w:rPr>
          <w:rFonts w:ascii="Times New Roman" w:hAnsi="Times New Roman" w:cs="Times New Roman"/>
          <w:szCs w:val="24"/>
          <w:lang w:val="fr-FR" w:eastAsia="en-GB"/>
        </w:rPr>
        <w:t xml:space="preserve"> de l</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 xml:space="preserve">absence des conditions légales </w:t>
      </w:r>
      <w:r w:rsidR="000D113D" w:rsidRPr="004618D5">
        <w:rPr>
          <w:rFonts w:ascii="Times New Roman" w:hAnsi="Times New Roman" w:cs="Times New Roman"/>
          <w:szCs w:val="24"/>
          <w:lang w:val="fr-FR" w:eastAsia="en-GB"/>
        </w:rPr>
        <w:t>requises pour la</w:t>
      </w:r>
      <w:r w:rsidR="00C4390F" w:rsidRPr="004618D5">
        <w:rPr>
          <w:rFonts w:ascii="Times New Roman" w:hAnsi="Times New Roman" w:cs="Times New Roman"/>
          <w:szCs w:val="24"/>
          <w:lang w:val="fr-FR" w:eastAsia="en-GB"/>
        </w:rPr>
        <w:t xml:space="preserve"> reconnaissance</w:t>
      </w:r>
      <w:r w:rsidRPr="004618D5">
        <w:rPr>
          <w:rFonts w:ascii="Times New Roman" w:hAnsi="Times New Roman" w:cs="Times New Roman"/>
          <w:szCs w:val="24"/>
          <w:lang w:val="fr-FR" w:eastAsia="en-GB"/>
        </w:rPr>
        <w:t xml:space="preserve"> au deuxième requérant </w:t>
      </w:r>
      <w:r w:rsidR="00C4390F" w:rsidRPr="004618D5">
        <w:rPr>
          <w:rFonts w:ascii="Times New Roman" w:hAnsi="Times New Roman" w:cs="Times New Roman"/>
          <w:szCs w:val="24"/>
          <w:lang w:val="fr-FR" w:eastAsia="en-GB"/>
        </w:rPr>
        <w:t>du</w:t>
      </w:r>
      <w:r w:rsidRPr="004618D5">
        <w:rPr>
          <w:rFonts w:ascii="Times New Roman" w:hAnsi="Times New Roman" w:cs="Times New Roman"/>
          <w:szCs w:val="24"/>
          <w:lang w:val="fr-FR" w:eastAsia="en-GB"/>
        </w:rPr>
        <w:t xml:space="preserve"> statut de « membre de la famille », soit </w:t>
      </w:r>
      <w:r w:rsidR="00C4390F" w:rsidRPr="004618D5">
        <w:rPr>
          <w:rFonts w:ascii="Times New Roman" w:hAnsi="Times New Roman" w:cs="Times New Roman"/>
          <w:szCs w:val="24"/>
          <w:lang w:val="fr-FR" w:eastAsia="en-GB"/>
        </w:rPr>
        <w:t>en raison</w:t>
      </w:r>
      <w:r w:rsidRPr="004618D5">
        <w:rPr>
          <w:rFonts w:ascii="Times New Roman" w:hAnsi="Times New Roman" w:cs="Times New Roman"/>
          <w:szCs w:val="24"/>
          <w:lang w:val="fr-FR" w:eastAsia="en-GB"/>
        </w:rPr>
        <w:t xml:space="preserve"> de l</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ampleur, en matière sociale, de la marge d</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appréciation de l</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 xml:space="preserve">État. Ce dernier demeurerait notamment libre de décider </w:t>
      </w:r>
      <w:r w:rsidRPr="004618D5">
        <w:rPr>
          <w:rFonts w:ascii="Times New Roman" w:hAnsi="Times New Roman" w:cs="Times New Roman"/>
          <w:szCs w:val="24"/>
          <w:lang w:val="fr-FR" w:eastAsia="en-GB"/>
        </w:rPr>
        <w:lastRenderedPageBreak/>
        <w:t xml:space="preserve">si les couples homosexuels doivent ou non jouir des mêmes droits </w:t>
      </w:r>
      <w:r w:rsidR="0076529C" w:rsidRPr="004618D5">
        <w:rPr>
          <w:rFonts w:ascii="Times New Roman" w:hAnsi="Times New Roman" w:cs="Times New Roman"/>
          <w:szCs w:val="24"/>
          <w:lang w:val="fr-FR" w:eastAsia="en-GB"/>
        </w:rPr>
        <w:t xml:space="preserve">que ceux </w:t>
      </w:r>
      <w:r w:rsidRPr="004618D5">
        <w:rPr>
          <w:rFonts w:ascii="Times New Roman" w:hAnsi="Times New Roman" w:cs="Times New Roman"/>
          <w:szCs w:val="24"/>
          <w:lang w:val="fr-FR" w:eastAsia="en-GB"/>
        </w:rPr>
        <w:t>reconnus à la famille traditionnelle.</w:t>
      </w:r>
    </w:p>
    <w:p w:rsidR="00F21629" w:rsidRPr="004618D5" w:rsidRDefault="00F21629" w:rsidP="004618D5">
      <w:pPr>
        <w:pStyle w:val="ECHRHeading5"/>
        <w:rPr>
          <w:lang w:val="fr-FR"/>
        </w:rPr>
      </w:pPr>
      <w:r w:rsidRPr="004618D5">
        <w:rPr>
          <w:lang w:val="fr-FR"/>
        </w:rPr>
        <w:t>ii.  Les requérants</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48</w:t>
      </w:r>
      <w:r w:rsidRPr="004618D5">
        <w:rPr>
          <w:lang w:val="fr-FR"/>
        </w:rPr>
        <w:fldChar w:fldCharType="end"/>
      </w:r>
      <w:r w:rsidRPr="004618D5">
        <w:rPr>
          <w:lang w:val="fr-FR"/>
        </w:rPr>
        <w:t xml:space="preserve">.  Les requérants </w:t>
      </w:r>
      <w:r w:rsidR="009C33E8" w:rsidRPr="004618D5">
        <w:rPr>
          <w:lang w:val="fr-FR"/>
        </w:rPr>
        <w:t>combattent</w:t>
      </w:r>
      <w:r w:rsidRPr="004618D5">
        <w:rPr>
          <w:lang w:val="fr-FR"/>
        </w:rPr>
        <w:t xml:space="preserve"> la thèse du Gouvernement. Ils </w:t>
      </w:r>
      <w:r w:rsidR="00A938BE" w:rsidRPr="004618D5">
        <w:rPr>
          <w:lang w:val="fr-FR"/>
        </w:rPr>
        <w:t>estimen</w:t>
      </w:r>
      <w:r w:rsidR="009C33E8" w:rsidRPr="004618D5">
        <w:rPr>
          <w:lang w:val="fr-FR"/>
        </w:rPr>
        <w:t xml:space="preserve">t </w:t>
      </w:r>
      <w:r w:rsidRPr="004618D5">
        <w:rPr>
          <w:lang w:val="fr-FR"/>
        </w:rPr>
        <w:t>que</w:t>
      </w:r>
      <w:r w:rsidR="009C33E8" w:rsidRPr="004618D5">
        <w:rPr>
          <w:lang w:val="fr-FR"/>
        </w:rPr>
        <w:t>,</w:t>
      </w:r>
      <w:r w:rsidRPr="004618D5">
        <w:rPr>
          <w:lang w:val="fr-FR"/>
        </w:rPr>
        <w:t xml:space="preserve"> dans son arrêt </w:t>
      </w:r>
      <w:r w:rsidRPr="004618D5">
        <w:rPr>
          <w:i/>
          <w:lang w:val="fr-FR"/>
        </w:rPr>
        <w:t xml:space="preserve">Schalk et Kopf </w:t>
      </w:r>
      <w:r w:rsidRPr="004618D5">
        <w:rPr>
          <w:lang w:val="fr-FR"/>
        </w:rPr>
        <w:t xml:space="preserve">(précité, § 94), la Cour a clairement opéré un revirement de jurisprudence </w:t>
      </w:r>
      <w:r w:rsidR="009C33E8" w:rsidRPr="004618D5">
        <w:rPr>
          <w:lang w:val="fr-FR"/>
        </w:rPr>
        <w:t>par rapport à</w:t>
      </w:r>
      <w:r w:rsidRPr="004618D5">
        <w:rPr>
          <w:lang w:val="fr-FR"/>
        </w:rPr>
        <w:t xml:space="preserve"> la Commission</w:t>
      </w:r>
      <w:r w:rsidR="009C33E8" w:rsidRPr="004618D5">
        <w:rPr>
          <w:lang w:val="fr-FR"/>
        </w:rPr>
        <w:t xml:space="preserve"> en</w:t>
      </w:r>
      <w:r w:rsidRPr="004618D5">
        <w:rPr>
          <w:lang w:val="fr-FR"/>
        </w:rPr>
        <w:t xml:space="preserve"> affirmant que la relation qu</w:t>
      </w:r>
      <w:r w:rsidR="004618D5" w:rsidRPr="004618D5">
        <w:rPr>
          <w:lang w:val="fr-FR"/>
        </w:rPr>
        <w:t>’</w:t>
      </w:r>
      <w:r w:rsidRPr="004618D5">
        <w:rPr>
          <w:lang w:val="fr-FR"/>
        </w:rPr>
        <w:t xml:space="preserve">entretient un couple homosexuel cohabitant </w:t>
      </w:r>
      <w:r w:rsidR="00966459" w:rsidRPr="004618D5">
        <w:rPr>
          <w:i/>
          <w:lang w:val="fr-FR"/>
        </w:rPr>
        <w:t>de facto</w:t>
      </w:r>
      <w:r w:rsidRPr="004618D5">
        <w:rPr>
          <w:lang w:val="fr-FR"/>
        </w:rPr>
        <w:t xml:space="preserve"> et de manière stable relève de la notion de « vie familiale ». Or, </w:t>
      </w:r>
      <w:r w:rsidR="009C33E8" w:rsidRPr="004618D5">
        <w:rPr>
          <w:lang w:val="fr-FR"/>
        </w:rPr>
        <w:t xml:space="preserve">selon eux, </w:t>
      </w:r>
      <w:r w:rsidRPr="004618D5">
        <w:rPr>
          <w:lang w:val="fr-FR"/>
        </w:rPr>
        <w:t>le refus d</w:t>
      </w:r>
      <w:r w:rsidR="004618D5" w:rsidRPr="004618D5">
        <w:rPr>
          <w:lang w:val="fr-FR"/>
        </w:rPr>
        <w:t>’</w:t>
      </w:r>
      <w:r w:rsidRPr="004618D5">
        <w:rPr>
          <w:lang w:val="fr-FR"/>
        </w:rPr>
        <w:t xml:space="preserve">octroyer un permis de séjour au deuxième requérant </w:t>
      </w:r>
      <w:r w:rsidR="009C33E8" w:rsidRPr="004618D5">
        <w:rPr>
          <w:lang w:val="fr-FR"/>
        </w:rPr>
        <w:t xml:space="preserve">les </w:t>
      </w:r>
      <w:r w:rsidR="00A938BE" w:rsidRPr="004618D5">
        <w:rPr>
          <w:lang w:val="fr-FR"/>
        </w:rPr>
        <w:t>a</w:t>
      </w:r>
      <w:r w:rsidR="009C33E8" w:rsidRPr="004618D5">
        <w:rPr>
          <w:lang w:val="fr-FR"/>
        </w:rPr>
        <w:t xml:space="preserve"> </w:t>
      </w:r>
      <w:r w:rsidRPr="004618D5">
        <w:rPr>
          <w:lang w:val="fr-FR"/>
        </w:rPr>
        <w:t>privé</w:t>
      </w:r>
      <w:r w:rsidR="00A938BE" w:rsidRPr="004618D5">
        <w:rPr>
          <w:lang w:val="fr-FR"/>
        </w:rPr>
        <w:t>s</w:t>
      </w:r>
      <w:r w:rsidRPr="004618D5">
        <w:rPr>
          <w:lang w:val="fr-FR"/>
        </w:rPr>
        <w:t xml:space="preserve"> de toute possibilité de vivre en Italie en tant que couple et </w:t>
      </w:r>
      <w:r w:rsidR="009C33E8" w:rsidRPr="004618D5">
        <w:rPr>
          <w:lang w:val="fr-FR"/>
        </w:rPr>
        <w:t xml:space="preserve">a </w:t>
      </w:r>
      <w:r w:rsidRPr="004618D5">
        <w:rPr>
          <w:lang w:val="fr-FR"/>
        </w:rPr>
        <w:t>entra</w:t>
      </w:r>
      <w:r w:rsidR="009C33E8" w:rsidRPr="004618D5">
        <w:rPr>
          <w:lang w:val="fr-FR"/>
        </w:rPr>
        <w:t>î</w:t>
      </w:r>
      <w:r w:rsidRPr="004618D5">
        <w:rPr>
          <w:lang w:val="fr-FR"/>
        </w:rPr>
        <w:t>né l</w:t>
      </w:r>
      <w:r w:rsidR="004618D5" w:rsidRPr="004618D5">
        <w:rPr>
          <w:lang w:val="fr-FR"/>
        </w:rPr>
        <w:t>’</w:t>
      </w:r>
      <w:r w:rsidRPr="004618D5">
        <w:rPr>
          <w:lang w:val="fr-FR"/>
        </w:rPr>
        <w:t xml:space="preserve">obligation légale, pour le deuxième requérant, de quitter le pays. </w:t>
      </w:r>
      <w:r w:rsidR="009C33E8" w:rsidRPr="004618D5">
        <w:rPr>
          <w:lang w:val="fr-FR"/>
        </w:rPr>
        <w:t>À leurs yeux, i</w:t>
      </w:r>
      <w:r w:rsidRPr="004618D5">
        <w:rPr>
          <w:lang w:val="fr-FR"/>
        </w:rPr>
        <w:t>l s</w:t>
      </w:r>
      <w:r w:rsidR="004618D5" w:rsidRPr="004618D5">
        <w:rPr>
          <w:lang w:val="fr-FR"/>
        </w:rPr>
        <w:t>’</w:t>
      </w:r>
      <w:r w:rsidRPr="004618D5">
        <w:rPr>
          <w:lang w:val="fr-FR"/>
        </w:rPr>
        <w:t>ensuit que les faits de l</w:t>
      </w:r>
      <w:r w:rsidR="004618D5" w:rsidRPr="004618D5">
        <w:rPr>
          <w:lang w:val="fr-FR"/>
        </w:rPr>
        <w:t>’</w:t>
      </w:r>
      <w:r w:rsidRPr="004618D5">
        <w:rPr>
          <w:lang w:val="fr-FR"/>
        </w:rPr>
        <w:t>espèce tombent dans le champ d</w:t>
      </w:r>
      <w:r w:rsidR="004618D5" w:rsidRPr="004618D5">
        <w:rPr>
          <w:lang w:val="fr-FR"/>
        </w:rPr>
        <w:t>’</w:t>
      </w:r>
      <w:r w:rsidRPr="004618D5">
        <w:rPr>
          <w:lang w:val="fr-FR"/>
        </w:rPr>
        <w:t>application de l</w:t>
      </w:r>
      <w:r w:rsidR="004618D5" w:rsidRPr="004618D5">
        <w:rPr>
          <w:lang w:val="fr-FR"/>
        </w:rPr>
        <w:t>’</w:t>
      </w:r>
      <w:r w:rsidRPr="004618D5">
        <w:rPr>
          <w:lang w:val="fr-FR"/>
        </w:rPr>
        <w:t>article 8 de la Convention, ce qui rend</w:t>
      </w:r>
      <w:r w:rsidR="00A938BE" w:rsidRPr="004618D5">
        <w:rPr>
          <w:lang w:val="fr-FR"/>
        </w:rPr>
        <w:t>rait</w:t>
      </w:r>
      <w:r w:rsidRPr="004618D5">
        <w:rPr>
          <w:lang w:val="fr-FR"/>
        </w:rPr>
        <w:t xml:space="preserve"> l</w:t>
      </w:r>
      <w:r w:rsidR="004618D5" w:rsidRPr="004618D5">
        <w:rPr>
          <w:lang w:val="fr-FR"/>
        </w:rPr>
        <w:t>’</w:t>
      </w:r>
      <w:r w:rsidRPr="004618D5">
        <w:rPr>
          <w:lang w:val="fr-FR"/>
        </w:rPr>
        <w:t>article</w:t>
      </w:r>
      <w:r w:rsidR="001539FB" w:rsidRPr="004618D5">
        <w:rPr>
          <w:lang w:val="fr-FR"/>
        </w:rPr>
        <w:t> </w:t>
      </w:r>
      <w:r w:rsidRPr="004618D5">
        <w:rPr>
          <w:lang w:val="fr-FR"/>
        </w:rPr>
        <w:t>14 également applicable.</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49</w:t>
      </w:r>
      <w:r w:rsidRPr="004618D5">
        <w:rPr>
          <w:lang w:val="fr-FR"/>
        </w:rPr>
        <w:fldChar w:fldCharType="end"/>
      </w:r>
      <w:r w:rsidRPr="004618D5">
        <w:rPr>
          <w:lang w:val="fr-FR"/>
        </w:rPr>
        <w:t xml:space="preserve">.  Les requérants </w:t>
      </w:r>
      <w:r w:rsidR="009C33E8" w:rsidRPr="004618D5">
        <w:rPr>
          <w:lang w:val="fr-FR"/>
        </w:rPr>
        <w:t xml:space="preserve">expliquent </w:t>
      </w:r>
      <w:r w:rsidR="00A938BE" w:rsidRPr="004618D5">
        <w:rPr>
          <w:lang w:val="fr-FR"/>
        </w:rPr>
        <w:t xml:space="preserve">en outre </w:t>
      </w:r>
      <w:r w:rsidR="009C33E8" w:rsidRPr="004618D5">
        <w:rPr>
          <w:lang w:val="fr-FR"/>
        </w:rPr>
        <w:t>que, en</w:t>
      </w:r>
      <w:r w:rsidRPr="004618D5">
        <w:rPr>
          <w:lang w:val="fr-FR"/>
        </w:rPr>
        <w:t xml:space="preserve"> 2003, lorsqu</w:t>
      </w:r>
      <w:r w:rsidR="004618D5" w:rsidRPr="004618D5">
        <w:rPr>
          <w:lang w:val="fr-FR"/>
        </w:rPr>
        <w:t>’</w:t>
      </w:r>
      <w:r w:rsidRPr="004618D5">
        <w:rPr>
          <w:lang w:val="fr-FR"/>
        </w:rPr>
        <w:t>ils ont quitté la Nouvelle</w:t>
      </w:r>
      <w:r w:rsidR="009C33E8" w:rsidRPr="004618D5">
        <w:rPr>
          <w:lang w:val="fr-FR"/>
        </w:rPr>
        <w:t>-</w:t>
      </w:r>
      <w:r w:rsidRPr="004618D5">
        <w:rPr>
          <w:lang w:val="fr-FR"/>
        </w:rPr>
        <w:t>Zélande, les lois de ce pays ne leur permettaient pas encore d</w:t>
      </w:r>
      <w:r w:rsidR="004618D5" w:rsidRPr="004618D5">
        <w:rPr>
          <w:lang w:val="fr-FR"/>
        </w:rPr>
        <w:t>’</w:t>
      </w:r>
      <w:r w:rsidRPr="004618D5">
        <w:rPr>
          <w:lang w:val="fr-FR"/>
        </w:rPr>
        <w:t xml:space="preserve">obtenir un certificat attestant </w:t>
      </w:r>
      <w:r w:rsidR="009C33E8" w:rsidRPr="004618D5">
        <w:rPr>
          <w:lang w:val="fr-FR"/>
        </w:rPr>
        <w:t>l</w:t>
      </w:r>
      <w:r w:rsidR="004618D5" w:rsidRPr="004618D5">
        <w:rPr>
          <w:lang w:val="fr-FR"/>
        </w:rPr>
        <w:t>’</w:t>
      </w:r>
      <w:r w:rsidR="009C33E8" w:rsidRPr="004618D5">
        <w:rPr>
          <w:lang w:val="fr-FR"/>
        </w:rPr>
        <w:t>enregistrement</w:t>
      </w:r>
      <w:r w:rsidRPr="004618D5">
        <w:rPr>
          <w:lang w:val="fr-FR"/>
        </w:rPr>
        <w:t xml:space="preserve"> de leur cohabitation, dont ils auraient pu</w:t>
      </w:r>
      <w:r w:rsidR="00A938BE" w:rsidRPr="004618D5">
        <w:rPr>
          <w:lang w:val="fr-FR"/>
        </w:rPr>
        <w:t>, à leurs dires,</w:t>
      </w:r>
      <w:r w:rsidRPr="004618D5">
        <w:rPr>
          <w:lang w:val="fr-FR"/>
        </w:rPr>
        <w:t xml:space="preserve"> demander la transcription en </w:t>
      </w:r>
      <w:r w:rsidR="006A002F" w:rsidRPr="004618D5">
        <w:rPr>
          <w:lang w:val="fr-FR"/>
        </w:rPr>
        <w:t>Italie.</w:t>
      </w:r>
      <w:r w:rsidR="00A36FF3" w:rsidRPr="004618D5">
        <w:rPr>
          <w:lang w:val="fr-FR"/>
        </w:rPr>
        <w:t xml:space="preserve"> Ils </w:t>
      </w:r>
      <w:r w:rsidR="00A938BE" w:rsidRPr="004618D5">
        <w:rPr>
          <w:lang w:val="fr-FR"/>
        </w:rPr>
        <w:t>auraient par conséquent</w:t>
      </w:r>
      <w:r w:rsidRPr="004618D5">
        <w:rPr>
          <w:lang w:val="fr-FR"/>
        </w:rPr>
        <w:t xml:space="preserve"> demandé l</w:t>
      </w:r>
      <w:r w:rsidR="004618D5" w:rsidRPr="004618D5">
        <w:rPr>
          <w:lang w:val="fr-FR"/>
        </w:rPr>
        <w:t>’</w:t>
      </w:r>
      <w:r w:rsidRPr="004618D5">
        <w:rPr>
          <w:lang w:val="fr-FR"/>
        </w:rPr>
        <w:t>octroi d</w:t>
      </w:r>
      <w:r w:rsidR="004618D5" w:rsidRPr="004618D5">
        <w:rPr>
          <w:lang w:val="fr-FR"/>
        </w:rPr>
        <w:t>’</w:t>
      </w:r>
      <w:r w:rsidRPr="004618D5">
        <w:rPr>
          <w:lang w:val="fr-FR"/>
        </w:rPr>
        <w:t xml:space="preserve">un permis de séjour </w:t>
      </w:r>
      <w:r w:rsidR="009C33E8" w:rsidRPr="004618D5">
        <w:rPr>
          <w:lang w:val="fr-FR"/>
        </w:rPr>
        <w:t>pour raison familiale</w:t>
      </w:r>
      <w:r w:rsidRPr="004618D5">
        <w:rPr>
          <w:lang w:val="fr-FR"/>
        </w:rPr>
        <w:t xml:space="preserve"> en tant que concubins engagés dans une relation durable. Cependant, </w:t>
      </w:r>
      <w:r w:rsidR="003E713E" w:rsidRPr="004618D5">
        <w:rPr>
          <w:lang w:val="fr-FR"/>
        </w:rPr>
        <w:t xml:space="preserve">selon eux, </w:t>
      </w:r>
      <w:r w:rsidRPr="004618D5">
        <w:rPr>
          <w:lang w:val="fr-FR"/>
        </w:rPr>
        <w:t>l</w:t>
      </w:r>
      <w:r w:rsidR="004618D5" w:rsidRPr="004618D5">
        <w:rPr>
          <w:lang w:val="fr-FR"/>
        </w:rPr>
        <w:t>’</w:t>
      </w:r>
      <w:r w:rsidRPr="004618D5">
        <w:rPr>
          <w:lang w:val="fr-FR"/>
        </w:rPr>
        <w:t>article 29 § 1 du décret législatif n</w:t>
      </w:r>
      <w:r w:rsidR="00B55B33" w:rsidRPr="004618D5">
        <w:rPr>
          <w:vertAlign w:val="superscript"/>
          <w:lang w:val="fr-FR"/>
        </w:rPr>
        <w:t>o</w:t>
      </w:r>
      <w:r w:rsidRPr="004618D5">
        <w:rPr>
          <w:lang w:val="fr-FR"/>
        </w:rPr>
        <w:t xml:space="preserve"> 286 de 1998 (paragraphe</w:t>
      </w:r>
      <w:r w:rsidR="004679B5" w:rsidRPr="004618D5">
        <w:rPr>
          <w:lang w:val="fr-FR"/>
        </w:rPr>
        <w:t> </w:t>
      </w:r>
      <w:r w:rsidR="003C71B5" w:rsidRPr="004618D5">
        <w:rPr>
          <w:lang w:val="fr-FR"/>
        </w:rPr>
        <w:t>28</w:t>
      </w:r>
      <w:r w:rsidR="007F4ED4" w:rsidRPr="004618D5">
        <w:rPr>
          <w:lang w:val="fr-FR"/>
        </w:rPr>
        <w:t xml:space="preserve"> ci</w:t>
      </w:r>
      <w:r w:rsidR="007F4ED4" w:rsidRPr="004618D5">
        <w:rPr>
          <w:lang w:val="fr-FR"/>
        </w:rPr>
        <w:noBreakHyphen/>
      </w:r>
      <w:r w:rsidRPr="004618D5">
        <w:rPr>
          <w:lang w:val="fr-FR"/>
        </w:rPr>
        <w:t>dessus) précisait que seul l</w:t>
      </w:r>
      <w:r w:rsidR="004618D5" w:rsidRPr="004618D5">
        <w:rPr>
          <w:lang w:val="fr-FR"/>
        </w:rPr>
        <w:t>’</w:t>
      </w:r>
      <w:r w:rsidRPr="004618D5">
        <w:rPr>
          <w:lang w:val="fr-FR"/>
        </w:rPr>
        <w:t>époux, et non le concubin, était un « membre de la famille »</w:t>
      </w:r>
      <w:r w:rsidR="003E713E" w:rsidRPr="004618D5">
        <w:rPr>
          <w:lang w:val="fr-FR"/>
        </w:rPr>
        <w:t> ;</w:t>
      </w:r>
      <w:r w:rsidRPr="004618D5">
        <w:rPr>
          <w:lang w:val="fr-FR"/>
        </w:rPr>
        <w:t xml:space="preserve"> </w:t>
      </w:r>
      <w:r w:rsidR="003E713E" w:rsidRPr="004618D5">
        <w:rPr>
          <w:lang w:val="fr-FR"/>
        </w:rPr>
        <w:t>q</w:t>
      </w:r>
      <w:r w:rsidRPr="004618D5">
        <w:rPr>
          <w:lang w:val="fr-FR"/>
        </w:rPr>
        <w:t>uant au décret législatif n</w:t>
      </w:r>
      <w:r w:rsidR="00B55B33" w:rsidRPr="004618D5">
        <w:rPr>
          <w:vertAlign w:val="superscript"/>
          <w:lang w:val="fr-FR"/>
        </w:rPr>
        <w:t>o</w:t>
      </w:r>
      <w:r w:rsidRPr="004618D5">
        <w:rPr>
          <w:lang w:val="fr-FR"/>
        </w:rPr>
        <w:t xml:space="preserve"> 30 de 2007, qui a transposé en droit italien la directive </w:t>
      </w:r>
      <w:r w:rsidR="009B345B" w:rsidRPr="004618D5">
        <w:rPr>
          <w:lang w:val="fr-FR"/>
        </w:rPr>
        <w:t>n</w:t>
      </w:r>
      <w:r w:rsidR="00B55B33" w:rsidRPr="004618D5">
        <w:rPr>
          <w:vertAlign w:val="superscript"/>
          <w:lang w:val="fr-FR"/>
        </w:rPr>
        <w:t>o</w:t>
      </w:r>
      <w:r w:rsidR="009B345B" w:rsidRPr="004618D5">
        <w:rPr>
          <w:lang w:val="fr-FR"/>
        </w:rPr>
        <w:t xml:space="preserve"> </w:t>
      </w:r>
      <w:r w:rsidRPr="004618D5">
        <w:rPr>
          <w:lang w:val="fr-FR"/>
        </w:rPr>
        <w:t xml:space="preserve">2004/38/EC (paragraphes </w:t>
      </w:r>
      <w:r w:rsidR="003C71B5" w:rsidRPr="004618D5">
        <w:rPr>
          <w:lang w:val="fr-FR" w:eastAsia="en-GB"/>
        </w:rPr>
        <w:t>29</w:t>
      </w:r>
      <w:r w:rsidRPr="004618D5">
        <w:rPr>
          <w:lang w:val="fr-FR"/>
        </w:rPr>
        <w:t>-</w:t>
      </w:r>
      <w:r w:rsidR="003C71B5" w:rsidRPr="004618D5">
        <w:rPr>
          <w:lang w:val="fr-FR" w:eastAsia="en-GB"/>
        </w:rPr>
        <w:t>30</w:t>
      </w:r>
      <w:r w:rsidRPr="004618D5">
        <w:rPr>
          <w:lang w:val="fr-FR"/>
        </w:rPr>
        <w:t xml:space="preserve"> ci-dessus), </w:t>
      </w:r>
      <w:r w:rsidR="005D72A1" w:rsidRPr="004618D5">
        <w:rPr>
          <w:lang w:val="fr-FR"/>
        </w:rPr>
        <w:t>les requérants estiment qu</w:t>
      </w:r>
      <w:r w:rsidR="004618D5" w:rsidRPr="004618D5">
        <w:rPr>
          <w:lang w:val="fr-FR"/>
        </w:rPr>
        <w:t>’</w:t>
      </w:r>
      <w:r w:rsidR="005D72A1" w:rsidRPr="004618D5">
        <w:rPr>
          <w:lang w:val="fr-FR"/>
        </w:rPr>
        <w:t xml:space="preserve">il </w:t>
      </w:r>
      <w:r w:rsidRPr="004618D5">
        <w:rPr>
          <w:lang w:val="fr-FR"/>
        </w:rPr>
        <w:t>trouve à s</w:t>
      </w:r>
      <w:r w:rsidR="004618D5" w:rsidRPr="004618D5">
        <w:rPr>
          <w:lang w:val="fr-FR"/>
        </w:rPr>
        <w:t>’</w:t>
      </w:r>
      <w:r w:rsidRPr="004618D5">
        <w:rPr>
          <w:lang w:val="fr-FR"/>
        </w:rPr>
        <w:t>appliquer uniquement aux cas, non pertinents en l</w:t>
      </w:r>
      <w:r w:rsidR="004618D5" w:rsidRPr="004618D5">
        <w:rPr>
          <w:lang w:val="fr-FR"/>
        </w:rPr>
        <w:t>’</w:t>
      </w:r>
      <w:r w:rsidRPr="004618D5">
        <w:rPr>
          <w:lang w:val="fr-FR"/>
        </w:rPr>
        <w:t>espèce, de citoyens de l</w:t>
      </w:r>
      <w:r w:rsidR="004618D5" w:rsidRPr="004618D5">
        <w:rPr>
          <w:lang w:val="fr-FR"/>
        </w:rPr>
        <w:t>’</w:t>
      </w:r>
      <w:r w:rsidRPr="004618D5">
        <w:rPr>
          <w:lang w:val="fr-FR"/>
        </w:rPr>
        <w:t xml:space="preserve">UE résidant en Italie ou de citoyens italiens qui </w:t>
      </w:r>
      <w:r w:rsidR="005D72A1" w:rsidRPr="004618D5">
        <w:rPr>
          <w:lang w:val="fr-FR"/>
        </w:rPr>
        <w:t xml:space="preserve">seraient </w:t>
      </w:r>
      <w:r w:rsidRPr="004618D5">
        <w:rPr>
          <w:lang w:val="fr-FR"/>
        </w:rPr>
        <w:t xml:space="preserve">retournés </w:t>
      </w:r>
      <w:r w:rsidR="003E713E" w:rsidRPr="004618D5">
        <w:rPr>
          <w:lang w:val="fr-FR"/>
        </w:rPr>
        <w:t>dans leur pays d</w:t>
      </w:r>
      <w:r w:rsidR="004618D5" w:rsidRPr="004618D5">
        <w:rPr>
          <w:lang w:val="fr-FR"/>
        </w:rPr>
        <w:t>’</w:t>
      </w:r>
      <w:r w:rsidR="003E713E" w:rsidRPr="004618D5">
        <w:rPr>
          <w:lang w:val="fr-FR"/>
        </w:rPr>
        <w:t>origine</w:t>
      </w:r>
      <w:r w:rsidRPr="004618D5">
        <w:rPr>
          <w:lang w:val="fr-FR"/>
        </w:rPr>
        <w:t xml:space="preserve"> après avoir résidé dans un autre État de l</w:t>
      </w:r>
      <w:r w:rsidR="004618D5" w:rsidRPr="004618D5">
        <w:rPr>
          <w:lang w:val="fr-FR"/>
        </w:rPr>
        <w:t>’</w:t>
      </w:r>
      <w:r w:rsidRPr="004618D5">
        <w:rPr>
          <w:lang w:val="fr-FR"/>
        </w:rPr>
        <w:t xml:space="preserve">UE. </w:t>
      </w:r>
      <w:r w:rsidR="005D72A1" w:rsidRPr="004618D5">
        <w:rPr>
          <w:lang w:val="fr-FR"/>
        </w:rPr>
        <w:t>Ils soutiennent</w:t>
      </w:r>
      <w:r w:rsidR="003E713E" w:rsidRPr="004618D5">
        <w:rPr>
          <w:lang w:val="fr-FR"/>
        </w:rPr>
        <w:t xml:space="preserve"> que l</w:t>
      </w:r>
      <w:r w:rsidR="004618D5" w:rsidRPr="004618D5">
        <w:rPr>
          <w:lang w:val="fr-FR"/>
        </w:rPr>
        <w:t>’</w:t>
      </w:r>
      <w:r w:rsidRPr="004618D5">
        <w:rPr>
          <w:lang w:val="fr-FR"/>
        </w:rPr>
        <w:t>inapplicabilité de la directive en question à la situation « interne » du premier requérant, citoyen italien ayant résidé en Italie de 2003 à 2009 sans avoir préalablement vécu dans un autre État de l</w:t>
      </w:r>
      <w:r w:rsidR="004618D5" w:rsidRPr="004618D5">
        <w:rPr>
          <w:lang w:val="fr-FR"/>
        </w:rPr>
        <w:t>’</w:t>
      </w:r>
      <w:r w:rsidRPr="004618D5">
        <w:rPr>
          <w:lang w:val="fr-FR"/>
        </w:rPr>
        <w:t xml:space="preserve">UE, a été confirmée par la CJUE et par la </w:t>
      </w:r>
      <w:r w:rsidRPr="004618D5">
        <w:rPr>
          <w:rStyle w:val="Enfasigrassetto"/>
          <w:b w:val="0"/>
          <w:lang w:val="fr-FR"/>
        </w:rPr>
        <w:t xml:space="preserve">communication de la Commission au Parlement européen et au Conseil concernant les lignes directrices destinées à améliorer la transposition et l´application de la directive </w:t>
      </w:r>
      <w:r w:rsidR="009B345B" w:rsidRPr="004618D5">
        <w:rPr>
          <w:rStyle w:val="Enfasigrassetto"/>
          <w:b w:val="0"/>
          <w:lang w:val="fr-FR"/>
        </w:rPr>
        <w:t>n</w:t>
      </w:r>
      <w:r w:rsidR="00B55B33" w:rsidRPr="004618D5">
        <w:rPr>
          <w:rStyle w:val="Enfasigrassetto"/>
          <w:b w:val="0"/>
          <w:vertAlign w:val="superscript"/>
          <w:lang w:val="fr-FR"/>
        </w:rPr>
        <w:t>o</w:t>
      </w:r>
      <w:r w:rsidR="009B345B" w:rsidRPr="004618D5">
        <w:rPr>
          <w:rStyle w:val="Enfasigrassetto"/>
          <w:b w:val="0"/>
          <w:lang w:val="fr-FR"/>
        </w:rPr>
        <w:t xml:space="preserve"> </w:t>
      </w:r>
      <w:r w:rsidRPr="004618D5">
        <w:rPr>
          <w:rStyle w:val="Enfasigrassetto"/>
          <w:b w:val="0"/>
          <w:lang w:val="fr-FR"/>
        </w:rPr>
        <w:t xml:space="preserve">2004/38/CE (COM/2009/0313 </w:t>
      </w:r>
      <w:r w:rsidRPr="004618D5">
        <w:rPr>
          <w:lang w:val="fr-FR"/>
        </w:rPr>
        <w:t>final).</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50</w:t>
      </w:r>
      <w:r w:rsidRPr="004618D5">
        <w:rPr>
          <w:lang w:val="fr-FR"/>
        </w:rPr>
        <w:fldChar w:fldCharType="end"/>
      </w:r>
      <w:r w:rsidRPr="004618D5">
        <w:rPr>
          <w:lang w:val="fr-FR"/>
        </w:rPr>
        <w:t>.  </w:t>
      </w:r>
      <w:r w:rsidR="003E713E" w:rsidRPr="004618D5">
        <w:rPr>
          <w:lang w:val="fr-FR"/>
        </w:rPr>
        <w:t>Aux yeux des requérants, s</w:t>
      </w:r>
      <w:r w:rsidR="004618D5" w:rsidRPr="004618D5">
        <w:rPr>
          <w:lang w:val="fr-FR"/>
        </w:rPr>
        <w:t>’</w:t>
      </w:r>
      <w:r w:rsidRPr="004618D5">
        <w:rPr>
          <w:lang w:val="fr-FR"/>
        </w:rPr>
        <w:t>il est vrai qu</w:t>
      </w:r>
      <w:r w:rsidR="003E713E" w:rsidRPr="004618D5">
        <w:rPr>
          <w:lang w:val="fr-FR"/>
        </w:rPr>
        <w:t xml:space="preserve">e, </w:t>
      </w:r>
      <w:r w:rsidRPr="004618D5">
        <w:rPr>
          <w:lang w:val="fr-FR"/>
        </w:rPr>
        <w:t>aux termes du droit de l</w:t>
      </w:r>
      <w:r w:rsidR="004618D5" w:rsidRPr="004618D5">
        <w:rPr>
          <w:lang w:val="fr-FR"/>
        </w:rPr>
        <w:t>’</w:t>
      </w:r>
      <w:r w:rsidRPr="004618D5">
        <w:rPr>
          <w:lang w:val="fr-FR"/>
        </w:rPr>
        <w:t>UE, l</w:t>
      </w:r>
      <w:r w:rsidR="004618D5" w:rsidRPr="004618D5">
        <w:rPr>
          <w:lang w:val="fr-FR"/>
        </w:rPr>
        <w:t>’</w:t>
      </w:r>
      <w:r w:rsidRPr="004618D5">
        <w:rPr>
          <w:lang w:val="fr-FR"/>
        </w:rPr>
        <w:t xml:space="preserve">Italie demeure libre de réglementer les « situations internes » comme </w:t>
      </w:r>
      <w:r w:rsidR="003E713E" w:rsidRPr="004618D5">
        <w:rPr>
          <w:lang w:val="fr-FR"/>
        </w:rPr>
        <w:t>la leur</w:t>
      </w:r>
      <w:r w:rsidRPr="004618D5">
        <w:rPr>
          <w:lang w:val="fr-FR"/>
        </w:rPr>
        <w:t>, il n</w:t>
      </w:r>
      <w:r w:rsidR="004618D5" w:rsidRPr="004618D5">
        <w:rPr>
          <w:lang w:val="fr-FR"/>
        </w:rPr>
        <w:t>’</w:t>
      </w:r>
      <w:r w:rsidRPr="004618D5">
        <w:rPr>
          <w:lang w:val="fr-FR"/>
        </w:rPr>
        <w:t>en demeure pas moins que</w:t>
      </w:r>
      <w:r w:rsidR="003E713E" w:rsidRPr="004618D5">
        <w:rPr>
          <w:lang w:val="fr-FR"/>
        </w:rPr>
        <w:t xml:space="preserve"> </w:t>
      </w:r>
      <w:r w:rsidRPr="004618D5">
        <w:rPr>
          <w:lang w:val="fr-FR"/>
        </w:rPr>
        <w:t>ces mêmes situations devraient être traitées de manière conforme aux articles 8 et 14 de la Convention. L</w:t>
      </w:r>
      <w:r w:rsidR="004618D5" w:rsidRPr="004618D5">
        <w:rPr>
          <w:lang w:val="fr-FR"/>
        </w:rPr>
        <w:t>’</w:t>
      </w:r>
      <w:r w:rsidRPr="004618D5">
        <w:rPr>
          <w:lang w:val="fr-FR"/>
        </w:rPr>
        <w:t>émergence d</w:t>
      </w:r>
      <w:r w:rsidR="004618D5" w:rsidRPr="004618D5">
        <w:rPr>
          <w:lang w:val="fr-FR"/>
        </w:rPr>
        <w:t>’</w:t>
      </w:r>
      <w:r w:rsidRPr="004618D5">
        <w:rPr>
          <w:lang w:val="fr-FR"/>
        </w:rPr>
        <w:t>un consensus européen quant aux droits en matière d</w:t>
      </w:r>
      <w:r w:rsidR="004618D5" w:rsidRPr="004618D5">
        <w:rPr>
          <w:lang w:val="fr-FR"/>
        </w:rPr>
        <w:t>’</w:t>
      </w:r>
      <w:r w:rsidRPr="004618D5">
        <w:rPr>
          <w:lang w:val="fr-FR"/>
        </w:rPr>
        <w:t>immigration des partenaires homosexuels résulterait pa</w:t>
      </w:r>
      <w:r w:rsidR="00D2243F" w:rsidRPr="004618D5">
        <w:rPr>
          <w:lang w:val="fr-FR"/>
        </w:rPr>
        <w:t>r</w:t>
      </w:r>
      <w:r w:rsidRPr="004618D5">
        <w:rPr>
          <w:lang w:val="fr-FR"/>
        </w:rPr>
        <w:t xml:space="preserve"> ailleurs de l</w:t>
      </w:r>
      <w:r w:rsidR="004618D5" w:rsidRPr="004618D5">
        <w:rPr>
          <w:lang w:val="fr-FR"/>
        </w:rPr>
        <w:t>’</w:t>
      </w:r>
      <w:r w:rsidR="00866256" w:rsidRPr="004618D5">
        <w:rPr>
          <w:lang w:val="fr-FR"/>
        </w:rPr>
        <w:t>article </w:t>
      </w:r>
      <w:r w:rsidRPr="004618D5">
        <w:rPr>
          <w:lang w:val="fr-FR"/>
        </w:rPr>
        <w:t xml:space="preserve">3 § 2 b) de la directive </w:t>
      </w:r>
      <w:r w:rsidR="009B345B" w:rsidRPr="004618D5">
        <w:rPr>
          <w:lang w:val="fr-FR"/>
        </w:rPr>
        <w:t>n</w:t>
      </w:r>
      <w:r w:rsidR="00B55B33" w:rsidRPr="004618D5">
        <w:rPr>
          <w:vertAlign w:val="superscript"/>
          <w:lang w:val="fr-FR"/>
        </w:rPr>
        <w:t>o</w:t>
      </w:r>
      <w:r w:rsidR="009B345B" w:rsidRPr="004618D5">
        <w:rPr>
          <w:lang w:val="fr-FR"/>
        </w:rPr>
        <w:t xml:space="preserve"> </w:t>
      </w:r>
      <w:r w:rsidRPr="004618D5">
        <w:rPr>
          <w:lang w:val="fr-FR"/>
        </w:rPr>
        <w:t>2004/38/C</w:t>
      </w:r>
      <w:r w:rsidR="009B345B" w:rsidRPr="004618D5">
        <w:rPr>
          <w:lang w:val="fr-FR"/>
        </w:rPr>
        <w:t>E</w:t>
      </w:r>
      <w:r w:rsidRPr="004618D5">
        <w:rPr>
          <w:lang w:val="fr-FR"/>
        </w:rPr>
        <w:t xml:space="preserve"> (paragraphe </w:t>
      </w:r>
      <w:r w:rsidR="003C71B5" w:rsidRPr="004618D5">
        <w:rPr>
          <w:lang w:val="fr-FR"/>
        </w:rPr>
        <w:t>29</w:t>
      </w:r>
      <w:r w:rsidRPr="004618D5">
        <w:rPr>
          <w:lang w:val="fr-FR"/>
        </w:rPr>
        <w:t xml:space="preserve"> ci-dessus), aux termes duquel « l</w:t>
      </w:r>
      <w:r w:rsidR="004618D5" w:rsidRPr="004618D5">
        <w:rPr>
          <w:lang w:val="fr-FR"/>
        </w:rPr>
        <w:t>’</w:t>
      </w:r>
      <w:r w:rsidRPr="004618D5">
        <w:rPr>
          <w:lang w:val="fr-FR"/>
        </w:rPr>
        <w:t>État membre d</w:t>
      </w:r>
      <w:r w:rsidR="004618D5" w:rsidRPr="004618D5">
        <w:rPr>
          <w:lang w:val="fr-FR"/>
        </w:rPr>
        <w:t>’</w:t>
      </w:r>
      <w:r w:rsidRPr="004618D5">
        <w:rPr>
          <w:lang w:val="fr-FR"/>
        </w:rPr>
        <w:t>accueil favorise, conformément à sa législation nationale, l</w:t>
      </w:r>
      <w:r w:rsidR="004618D5" w:rsidRPr="004618D5">
        <w:rPr>
          <w:lang w:val="fr-FR"/>
        </w:rPr>
        <w:t>’</w:t>
      </w:r>
      <w:r w:rsidRPr="004618D5">
        <w:rPr>
          <w:lang w:val="fr-FR"/>
        </w:rPr>
        <w:t>entrée et le séjour</w:t>
      </w:r>
      <w:r w:rsidR="00921A8C" w:rsidRPr="004618D5">
        <w:rPr>
          <w:lang w:val="fr-FR"/>
        </w:rPr>
        <w:t xml:space="preserve"> </w:t>
      </w:r>
      <w:r w:rsidRPr="004618D5">
        <w:rPr>
          <w:lang w:val="fr-FR"/>
        </w:rPr>
        <w:t xml:space="preserve">[du] partenaire avec lequel le </w:t>
      </w:r>
      <w:r w:rsidRPr="004618D5">
        <w:rPr>
          <w:lang w:val="fr-FR"/>
        </w:rPr>
        <w:lastRenderedPageBreak/>
        <w:t xml:space="preserve">citoyen de </w:t>
      </w:r>
      <w:r w:rsidR="00455767" w:rsidRPr="004618D5">
        <w:rPr>
          <w:lang w:val="fr-FR"/>
        </w:rPr>
        <w:t>l</w:t>
      </w:r>
      <w:r w:rsidR="004618D5" w:rsidRPr="004618D5">
        <w:rPr>
          <w:lang w:val="fr-FR"/>
        </w:rPr>
        <w:t>’</w:t>
      </w:r>
      <w:r w:rsidR="00455767" w:rsidRPr="004618D5">
        <w:rPr>
          <w:lang w:val="fr-FR"/>
        </w:rPr>
        <w:t>[UE]</w:t>
      </w:r>
      <w:r w:rsidRPr="004618D5">
        <w:rPr>
          <w:lang w:val="fr-FR"/>
        </w:rPr>
        <w:t xml:space="preserve"> a une relation durable, dûment attestée ». </w:t>
      </w:r>
      <w:r w:rsidR="003E713E" w:rsidRPr="004618D5">
        <w:rPr>
          <w:lang w:val="fr-FR"/>
        </w:rPr>
        <w:t>Les requérants ajoutent que d</w:t>
      </w:r>
      <w:r w:rsidRPr="004618D5">
        <w:rPr>
          <w:lang w:val="fr-FR"/>
        </w:rPr>
        <w:t xml:space="preserve">ans sa communication COM/2009/0313, précitée, la Commission européenne a précisé que cette attestation </w:t>
      </w:r>
      <w:r w:rsidR="003E713E" w:rsidRPr="004618D5">
        <w:rPr>
          <w:lang w:val="fr-FR"/>
        </w:rPr>
        <w:t xml:space="preserve">pouvait </w:t>
      </w:r>
      <w:r w:rsidRPr="004618D5">
        <w:rPr>
          <w:lang w:val="fr-FR"/>
        </w:rPr>
        <w:t>être fourni</w:t>
      </w:r>
      <w:r w:rsidR="00921A8C" w:rsidRPr="004618D5">
        <w:rPr>
          <w:lang w:val="fr-FR"/>
        </w:rPr>
        <w:t>e par « tout moyen approprié ».</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51</w:t>
      </w:r>
      <w:r w:rsidRPr="004618D5">
        <w:rPr>
          <w:lang w:val="fr-FR"/>
        </w:rPr>
        <w:fldChar w:fldCharType="end"/>
      </w:r>
      <w:r w:rsidRPr="004618D5">
        <w:rPr>
          <w:lang w:val="fr-FR"/>
        </w:rPr>
        <w:t>.  </w:t>
      </w:r>
      <w:r w:rsidR="003E713E" w:rsidRPr="004618D5">
        <w:rPr>
          <w:lang w:val="fr-FR"/>
        </w:rPr>
        <w:t xml:space="preserve">Selon eux, </w:t>
      </w:r>
      <w:r w:rsidRPr="004618D5">
        <w:rPr>
          <w:lang w:val="fr-FR"/>
        </w:rPr>
        <w:t>la loi n</w:t>
      </w:r>
      <w:r w:rsidR="00B55B33" w:rsidRPr="004618D5">
        <w:rPr>
          <w:vertAlign w:val="superscript"/>
          <w:lang w:val="fr-FR"/>
        </w:rPr>
        <w:t>o</w:t>
      </w:r>
      <w:r w:rsidRPr="004618D5">
        <w:rPr>
          <w:lang w:val="fr-FR"/>
        </w:rPr>
        <w:t xml:space="preserve"> 97 de 2013 (paragraphe </w:t>
      </w:r>
      <w:r w:rsidR="003C71B5" w:rsidRPr="004618D5">
        <w:rPr>
          <w:lang w:val="fr-FR"/>
        </w:rPr>
        <w:t>30</w:t>
      </w:r>
      <w:r w:rsidRPr="004618D5">
        <w:rPr>
          <w:lang w:val="fr-FR"/>
        </w:rPr>
        <w:t xml:space="preserve"> ci-dessus) a </w:t>
      </w:r>
      <w:r w:rsidR="003E713E" w:rsidRPr="004618D5">
        <w:rPr>
          <w:lang w:val="fr-FR"/>
        </w:rPr>
        <w:t xml:space="preserve">effectivement </w:t>
      </w:r>
      <w:r w:rsidRPr="004618D5">
        <w:rPr>
          <w:lang w:val="fr-FR"/>
        </w:rPr>
        <w:t>transposé en droit italien l</w:t>
      </w:r>
      <w:r w:rsidR="004618D5" w:rsidRPr="004618D5">
        <w:rPr>
          <w:lang w:val="fr-FR"/>
        </w:rPr>
        <w:t>’</w:t>
      </w:r>
      <w:r w:rsidRPr="004618D5">
        <w:rPr>
          <w:lang w:val="fr-FR"/>
        </w:rPr>
        <w:t>article 3 de la directive</w:t>
      </w:r>
      <w:r w:rsidR="005661CF" w:rsidRPr="004618D5">
        <w:rPr>
          <w:lang w:val="fr-FR"/>
        </w:rPr>
        <w:t> </w:t>
      </w:r>
      <w:r w:rsidR="009B345B" w:rsidRPr="004618D5">
        <w:rPr>
          <w:lang w:val="fr-FR"/>
        </w:rPr>
        <w:t>n</w:t>
      </w:r>
      <w:r w:rsidR="00B55B33" w:rsidRPr="004618D5">
        <w:rPr>
          <w:vertAlign w:val="superscript"/>
          <w:lang w:val="fr-FR"/>
        </w:rPr>
        <w:t>o</w:t>
      </w:r>
      <w:r w:rsidR="00701159" w:rsidRPr="004618D5">
        <w:rPr>
          <w:lang w:val="fr-FR"/>
        </w:rPr>
        <w:t> </w:t>
      </w:r>
      <w:r w:rsidRPr="004618D5">
        <w:rPr>
          <w:lang w:val="fr-FR"/>
        </w:rPr>
        <w:t>2004/38/</w:t>
      </w:r>
      <w:r w:rsidR="009B345B" w:rsidRPr="004618D5">
        <w:rPr>
          <w:lang w:val="fr-FR"/>
        </w:rPr>
        <w:t>CE</w:t>
      </w:r>
      <w:r w:rsidRPr="004618D5">
        <w:rPr>
          <w:lang w:val="fr-FR"/>
        </w:rPr>
        <w:t xml:space="preserve">. Cependant, cet article ne conférerait pas clairement au deuxième requérant un droit à </w:t>
      </w:r>
      <w:r w:rsidR="00110DD3" w:rsidRPr="004618D5">
        <w:rPr>
          <w:lang w:val="fr-FR"/>
        </w:rPr>
        <w:t>l</w:t>
      </w:r>
      <w:r w:rsidR="004618D5" w:rsidRPr="004618D5">
        <w:rPr>
          <w:lang w:val="fr-FR"/>
        </w:rPr>
        <w:t>’</w:t>
      </w:r>
      <w:r w:rsidR="00110DD3" w:rsidRPr="004618D5">
        <w:rPr>
          <w:lang w:val="fr-FR"/>
        </w:rPr>
        <w:t xml:space="preserve">obtention </w:t>
      </w:r>
      <w:r w:rsidRPr="004618D5">
        <w:rPr>
          <w:lang w:val="fr-FR"/>
        </w:rPr>
        <w:t>du permis de séjour litigieux. En tout état de cause, à supposer même qu</w:t>
      </w:r>
      <w:r w:rsidR="004618D5" w:rsidRPr="004618D5">
        <w:rPr>
          <w:lang w:val="fr-FR"/>
        </w:rPr>
        <w:t>’</w:t>
      </w:r>
      <w:r w:rsidRPr="004618D5">
        <w:rPr>
          <w:lang w:val="fr-FR"/>
        </w:rPr>
        <w:t xml:space="preserve">un tel permis aurait pu être octroyé à partir de septembre 2013, il </w:t>
      </w:r>
      <w:r w:rsidR="00110DD3" w:rsidRPr="004618D5">
        <w:rPr>
          <w:lang w:val="fr-FR"/>
        </w:rPr>
        <w:t>n</w:t>
      </w:r>
      <w:r w:rsidR="004618D5" w:rsidRPr="004618D5">
        <w:rPr>
          <w:lang w:val="fr-FR"/>
        </w:rPr>
        <w:t>’</w:t>
      </w:r>
      <w:r w:rsidR="00110DD3" w:rsidRPr="004618D5">
        <w:rPr>
          <w:lang w:val="fr-FR"/>
        </w:rPr>
        <w:t xml:space="preserve">en </w:t>
      </w:r>
      <w:r w:rsidRPr="004618D5">
        <w:rPr>
          <w:lang w:val="fr-FR"/>
        </w:rPr>
        <w:t>reste</w:t>
      </w:r>
      <w:r w:rsidR="005D72A1" w:rsidRPr="004618D5">
        <w:rPr>
          <w:lang w:val="fr-FR"/>
        </w:rPr>
        <w:t xml:space="preserve"> </w:t>
      </w:r>
      <w:r w:rsidR="00110DD3" w:rsidRPr="004618D5">
        <w:rPr>
          <w:lang w:val="fr-FR"/>
        </w:rPr>
        <w:t xml:space="preserve">pas moins, </w:t>
      </w:r>
      <w:r w:rsidR="005D72A1" w:rsidRPr="004618D5">
        <w:rPr>
          <w:lang w:val="fr-FR"/>
        </w:rPr>
        <w:t>selon eux</w:t>
      </w:r>
      <w:r w:rsidR="00110DD3" w:rsidRPr="004618D5">
        <w:rPr>
          <w:lang w:val="fr-FR"/>
        </w:rPr>
        <w:t>,</w:t>
      </w:r>
      <w:r w:rsidRPr="004618D5">
        <w:rPr>
          <w:lang w:val="fr-FR"/>
        </w:rPr>
        <w:t xml:space="preserve"> que le deuxième requérant s</w:t>
      </w:r>
      <w:r w:rsidR="004618D5" w:rsidRPr="004618D5">
        <w:rPr>
          <w:lang w:val="fr-FR"/>
        </w:rPr>
        <w:t>’</w:t>
      </w:r>
      <w:r w:rsidRPr="004618D5">
        <w:rPr>
          <w:lang w:val="fr-FR"/>
        </w:rPr>
        <w:t>est vu refuser la possibilité de résider en Italie à partir de 2004 et qu</w:t>
      </w:r>
      <w:r w:rsidR="004618D5" w:rsidRPr="004618D5">
        <w:rPr>
          <w:lang w:val="fr-FR"/>
        </w:rPr>
        <w:t>’</w:t>
      </w:r>
      <w:r w:rsidRPr="004618D5">
        <w:rPr>
          <w:lang w:val="fr-FR"/>
        </w:rPr>
        <w:t>il a été victime des conséquences de ce re</w:t>
      </w:r>
      <w:r w:rsidR="00126B89" w:rsidRPr="004618D5">
        <w:rPr>
          <w:lang w:val="fr-FR"/>
        </w:rPr>
        <w:t>fus pendant de longues années.</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52</w:t>
      </w:r>
      <w:r w:rsidRPr="004618D5">
        <w:rPr>
          <w:lang w:val="fr-FR"/>
        </w:rPr>
        <w:fldChar w:fldCharType="end"/>
      </w:r>
      <w:r w:rsidRPr="004618D5">
        <w:rPr>
          <w:lang w:val="fr-FR"/>
        </w:rPr>
        <w:t xml:space="preserve">.  Les requérants </w:t>
      </w:r>
      <w:r w:rsidR="005D72A1" w:rsidRPr="004618D5">
        <w:rPr>
          <w:lang w:val="fr-FR"/>
        </w:rPr>
        <w:t>affirme</w:t>
      </w:r>
      <w:r w:rsidR="003F6892" w:rsidRPr="004618D5">
        <w:rPr>
          <w:lang w:val="fr-FR"/>
        </w:rPr>
        <w:t xml:space="preserve">nt </w:t>
      </w:r>
      <w:r w:rsidRPr="004618D5">
        <w:rPr>
          <w:lang w:val="fr-FR"/>
        </w:rPr>
        <w:t>également qu</w:t>
      </w:r>
      <w:r w:rsidR="004618D5" w:rsidRPr="004618D5">
        <w:rPr>
          <w:lang w:val="fr-FR"/>
        </w:rPr>
        <w:t>’</w:t>
      </w:r>
      <w:r w:rsidRPr="004618D5">
        <w:rPr>
          <w:lang w:val="fr-FR"/>
        </w:rPr>
        <w:t xml:space="preserve">un permis de séjour </w:t>
      </w:r>
      <w:r w:rsidR="003F6892" w:rsidRPr="004618D5">
        <w:rPr>
          <w:lang w:val="fr-FR"/>
        </w:rPr>
        <w:t>pour raison familiale</w:t>
      </w:r>
      <w:r w:rsidRPr="004618D5">
        <w:rPr>
          <w:lang w:val="fr-FR"/>
        </w:rPr>
        <w:t xml:space="preserve"> a été octroyé par le tribunal de Reggio Emilia à un ressortissant uruguayen qui avait épousé un citoyen italien en Espagne. </w:t>
      </w:r>
      <w:r w:rsidR="003F6892" w:rsidRPr="004618D5">
        <w:rPr>
          <w:lang w:val="fr-FR"/>
        </w:rPr>
        <w:t xml:space="preserve">Ils </w:t>
      </w:r>
      <w:r w:rsidR="006A002F" w:rsidRPr="004618D5">
        <w:rPr>
          <w:lang w:val="fr-FR"/>
        </w:rPr>
        <w:t>ajoutent</w:t>
      </w:r>
      <w:r w:rsidR="003F6892" w:rsidRPr="004618D5">
        <w:rPr>
          <w:lang w:val="fr-FR"/>
        </w:rPr>
        <w:t xml:space="preserve"> que, après cette décision, trente </w:t>
      </w:r>
      <w:r w:rsidRPr="004618D5">
        <w:rPr>
          <w:lang w:val="fr-FR"/>
        </w:rPr>
        <w:t>autres permis de séjour analogues ont été délivrés à d</w:t>
      </w:r>
      <w:r w:rsidR="004618D5" w:rsidRPr="004618D5">
        <w:rPr>
          <w:lang w:val="fr-FR"/>
        </w:rPr>
        <w:t>’</w:t>
      </w:r>
      <w:r w:rsidRPr="004618D5">
        <w:rPr>
          <w:lang w:val="fr-FR"/>
        </w:rPr>
        <w:t xml:space="preserve">autres ressortissants extracommunautaires formant des couples homosexuels avec des citoyens italiens sur la base de mariages ou </w:t>
      </w:r>
      <w:r w:rsidR="003F6892" w:rsidRPr="004618D5">
        <w:rPr>
          <w:lang w:val="fr-FR"/>
        </w:rPr>
        <w:t xml:space="preserve">de </w:t>
      </w:r>
      <w:r w:rsidRPr="004618D5">
        <w:rPr>
          <w:lang w:val="fr-FR"/>
        </w:rPr>
        <w:t>partenariats civils conclus dans des pays de l</w:t>
      </w:r>
      <w:r w:rsidR="004618D5" w:rsidRPr="004618D5">
        <w:rPr>
          <w:lang w:val="fr-FR"/>
        </w:rPr>
        <w:t>’</w:t>
      </w:r>
      <w:r w:rsidRPr="004618D5">
        <w:rPr>
          <w:lang w:val="fr-FR"/>
        </w:rPr>
        <w:t>UE autres que l</w:t>
      </w:r>
      <w:r w:rsidR="004618D5" w:rsidRPr="004618D5">
        <w:rPr>
          <w:lang w:val="fr-FR"/>
        </w:rPr>
        <w:t>’</w:t>
      </w:r>
      <w:r w:rsidRPr="004618D5">
        <w:rPr>
          <w:lang w:val="fr-FR"/>
        </w:rPr>
        <w:t>Italie.</w:t>
      </w:r>
    </w:p>
    <w:p w:rsidR="00F21629" w:rsidRPr="004618D5" w:rsidRDefault="00F21629" w:rsidP="004618D5">
      <w:pPr>
        <w:pStyle w:val="ECHRHeading4"/>
        <w:rPr>
          <w:lang w:val="fr-FR"/>
        </w:rPr>
      </w:pPr>
      <w:r w:rsidRPr="004618D5">
        <w:rPr>
          <w:lang w:val="fr-FR"/>
        </w:rPr>
        <w:t>b)  Appréciation de la Cour</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53</w:t>
      </w:r>
      <w:r w:rsidRPr="004618D5">
        <w:rPr>
          <w:lang w:val="fr-FR"/>
        </w:rPr>
        <w:fldChar w:fldCharType="end"/>
      </w:r>
      <w:r w:rsidRPr="004618D5">
        <w:rPr>
          <w:lang w:val="fr-FR"/>
        </w:rPr>
        <w:t>.  La Cour rappelle que l</w:t>
      </w:r>
      <w:r w:rsidR="004618D5" w:rsidRPr="004618D5">
        <w:rPr>
          <w:lang w:val="fr-FR"/>
        </w:rPr>
        <w:t>’</w:t>
      </w:r>
      <w:r w:rsidRPr="004618D5">
        <w:rPr>
          <w:lang w:val="fr-FR"/>
        </w:rPr>
        <w:t>article 14 de la Convention complète les autres clauses normatives de la Convention et de ses Protocoles. Il n</w:t>
      </w:r>
      <w:r w:rsidR="004618D5" w:rsidRPr="004618D5">
        <w:rPr>
          <w:lang w:val="fr-FR"/>
        </w:rPr>
        <w:t>’</w:t>
      </w:r>
      <w:r w:rsidRPr="004618D5">
        <w:rPr>
          <w:lang w:val="fr-FR"/>
        </w:rPr>
        <w:t>a pas d</w:t>
      </w:r>
      <w:r w:rsidR="004618D5" w:rsidRPr="004618D5">
        <w:rPr>
          <w:lang w:val="fr-FR"/>
        </w:rPr>
        <w:t>’</w:t>
      </w:r>
      <w:r w:rsidRPr="004618D5">
        <w:rPr>
          <w:lang w:val="fr-FR"/>
        </w:rPr>
        <w:t>existence indépendante, puisqu</w:t>
      </w:r>
      <w:r w:rsidR="004618D5" w:rsidRPr="004618D5">
        <w:rPr>
          <w:lang w:val="fr-FR"/>
        </w:rPr>
        <w:t>’</w:t>
      </w:r>
      <w:r w:rsidRPr="004618D5">
        <w:rPr>
          <w:lang w:val="fr-FR"/>
        </w:rPr>
        <w:t>il vaut uniquement pour « la jouissance des droits et libertés » qu</w:t>
      </w:r>
      <w:r w:rsidR="004618D5" w:rsidRPr="004618D5">
        <w:rPr>
          <w:lang w:val="fr-FR"/>
        </w:rPr>
        <w:t>’</w:t>
      </w:r>
      <w:r w:rsidRPr="004618D5">
        <w:rPr>
          <w:lang w:val="fr-FR"/>
        </w:rPr>
        <w:t>elles garantissent. Certes, il peut entrer en jeu même sans un manquement à leurs exigences et, dans cette mesure, il possède une portée autonome, mais il ne saurait trouver à s</w:t>
      </w:r>
      <w:r w:rsidR="004618D5" w:rsidRPr="004618D5">
        <w:rPr>
          <w:lang w:val="fr-FR"/>
        </w:rPr>
        <w:t>’</w:t>
      </w:r>
      <w:r w:rsidRPr="004618D5">
        <w:rPr>
          <w:lang w:val="fr-FR"/>
        </w:rPr>
        <w:t>appliquer si les faits du litige ne tombent pas sous l</w:t>
      </w:r>
      <w:r w:rsidR="004618D5" w:rsidRPr="004618D5">
        <w:rPr>
          <w:lang w:val="fr-FR"/>
        </w:rPr>
        <w:t>’</w:t>
      </w:r>
      <w:r w:rsidRPr="004618D5">
        <w:rPr>
          <w:lang w:val="fr-FR"/>
        </w:rPr>
        <w:t>em</w:t>
      </w:r>
      <w:r w:rsidR="0055434D" w:rsidRPr="004618D5">
        <w:rPr>
          <w:lang w:val="fr-FR"/>
        </w:rPr>
        <w:t>pire</w:t>
      </w:r>
      <w:r w:rsidRPr="004618D5">
        <w:rPr>
          <w:lang w:val="fr-FR"/>
        </w:rPr>
        <w:t xml:space="preserve"> de l</w:t>
      </w:r>
      <w:r w:rsidR="004618D5" w:rsidRPr="004618D5">
        <w:rPr>
          <w:lang w:val="fr-FR"/>
        </w:rPr>
        <w:t>’</w:t>
      </w:r>
      <w:r w:rsidRPr="004618D5">
        <w:rPr>
          <w:lang w:val="fr-FR"/>
        </w:rPr>
        <w:t>une au moins desdites clauses (</w:t>
      </w:r>
      <w:r w:rsidRPr="004618D5">
        <w:rPr>
          <w:i/>
          <w:lang w:val="fr-FR"/>
        </w:rPr>
        <w:t>E.B. c. France</w:t>
      </w:r>
      <w:r w:rsidRPr="004618D5">
        <w:rPr>
          <w:lang w:val="fr-FR"/>
        </w:rPr>
        <w:t xml:space="preserve"> [GC], n</w:t>
      </w:r>
      <w:r w:rsidRPr="004618D5">
        <w:rPr>
          <w:vertAlign w:val="superscript"/>
          <w:lang w:val="fr-FR"/>
        </w:rPr>
        <w:t>o</w:t>
      </w:r>
      <w:r w:rsidRPr="004618D5">
        <w:rPr>
          <w:lang w:val="fr-FR"/>
        </w:rPr>
        <w:t xml:space="preserve"> 43546/02, § 47, 22</w:t>
      </w:r>
      <w:r w:rsidR="00921A8C" w:rsidRPr="004618D5">
        <w:rPr>
          <w:lang w:val="fr-FR"/>
        </w:rPr>
        <w:t xml:space="preserve"> </w:t>
      </w:r>
      <w:r w:rsidRPr="004618D5">
        <w:rPr>
          <w:lang w:val="fr-FR"/>
        </w:rPr>
        <w:t>janvier 2008</w:t>
      </w:r>
      <w:r w:rsidR="003D1F4C" w:rsidRPr="004618D5">
        <w:rPr>
          <w:lang w:val="fr-FR"/>
        </w:rPr>
        <w:t>,</w:t>
      </w:r>
      <w:r w:rsidRPr="004618D5">
        <w:rPr>
          <w:lang w:val="fr-FR"/>
        </w:rPr>
        <w:t xml:space="preserve"> </w:t>
      </w:r>
      <w:r w:rsidRPr="004618D5">
        <w:rPr>
          <w:bCs/>
          <w:i/>
          <w:color w:val="000000"/>
          <w:lang w:val="fr-FR"/>
        </w:rPr>
        <w:t>Vallianatos</w:t>
      </w:r>
      <w:r w:rsidRPr="004618D5">
        <w:rPr>
          <w:b/>
          <w:bCs/>
          <w:i/>
          <w:color w:val="000000"/>
          <w:lang w:val="fr-FR"/>
        </w:rPr>
        <w:t xml:space="preserve"> </w:t>
      </w:r>
      <w:r w:rsidRPr="004618D5">
        <w:rPr>
          <w:i/>
          <w:lang w:val="fr-FR"/>
        </w:rPr>
        <w:t xml:space="preserve">et autres c. Grèce </w:t>
      </w:r>
      <w:r w:rsidRPr="004618D5">
        <w:rPr>
          <w:lang w:val="fr-FR"/>
        </w:rPr>
        <w:t>[GC], n</w:t>
      </w:r>
      <w:r w:rsidRPr="004618D5">
        <w:rPr>
          <w:vertAlign w:val="superscript"/>
          <w:lang w:val="fr-FR"/>
        </w:rPr>
        <w:t>os</w:t>
      </w:r>
      <w:r w:rsidRPr="004618D5">
        <w:rPr>
          <w:lang w:val="fr-FR"/>
        </w:rPr>
        <w:t xml:space="preserve"> 29381/09 et 32684/09</w:t>
      </w:r>
      <w:r w:rsidR="00674828" w:rsidRPr="004618D5">
        <w:rPr>
          <w:snapToGrid w:val="0"/>
          <w:lang w:val="fr-FR"/>
        </w:rPr>
        <w:t>, § </w:t>
      </w:r>
      <w:r w:rsidRPr="004618D5">
        <w:rPr>
          <w:snapToGrid w:val="0"/>
          <w:lang w:val="fr-FR"/>
        </w:rPr>
        <w:t xml:space="preserve">72, </w:t>
      </w:r>
      <w:r w:rsidRPr="004618D5">
        <w:rPr>
          <w:lang w:val="fr-FR"/>
        </w:rPr>
        <w:t>CEDH</w:t>
      </w:r>
      <w:r w:rsidR="00674828" w:rsidRPr="004618D5">
        <w:rPr>
          <w:lang w:val="fr-FR"/>
        </w:rPr>
        <w:t> </w:t>
      </w:r>
      <w:r w:rsidRPr="004618D5">
        <w:rPr>
          <w:lang w:val="fr-FR"/>
        </w:rPr>
        <w:t>2013</w:t>
      </w:r>
      <w:r w:rsidR="003D1F4C" w:rsidRPr="004618D5">
        <w:rPr>
          <w:lang w:val="fr-FR"/>
        </w:rPr>
        <w:t>,</w:t>
      </w:r>
      <w:r w:rsidRPr="004618D5">
        <w:rPr>
          <w:lang w:val="fr-FR"/>
        </w:rPr>
        <w:t xml:space="preserve"> et </w:t>
      </w:r>
      <w:r w:rsidRPr="004618D5">
        <w:rPr>
          <w:i/>
          <w:lang w:val="fr-FR"/>
        </w:rPr>
        <w:t xml:space="preserve">Hämäläinen c. Finlande </w:t>
      </w:r>
      <w:r w:rsidRPr="004618D5">
        <w:rPr>
          <w:lang w:val="fr-FR"/>
        </w:rPr>
        <w:t>[GC], n</w:t>
      </w:r>
      <w:r w:rsidR="00B55B33" w:rsidRPr="004618D5">
        <w:rPr>
          <w:vertAlign w:val="superscript"/>
          <w:lang w:val="fr-FR"/>
        </w:rPr>
        <w:t>o</w:t>
      </w:r>
      <w:r w:rsidR="00674828" w:rsidRPr="004618D5">
        <w:rPr>
          <w:lang w:val="fr-FR"/>
        </w:rPr>
        <w:t xml:space="preserve"> 37359/09, § 107, CEDH </w:t>
      </w:r>
      <w:r w:rsidRPr="004618D5">
        <w:rPr>
          <w:lang w:val="fr-FR"/>
        </w:rPr>
        <w:t>2014).</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54</w:t>
      </w:r>
      <w:r w:rsidRPr="004618D5">
        <w:rPr>
          <w:lang w:val="fr-FR"/>
        </w:rPr>
        <w:fldChar w:fldCharType="end"/>
      </w:r>
      <w:r w:rsidRPr="004618D5">
        <w:rPr>
          <w:lang w:val="fr-FR"/>
        </w:rPr>
        <w:t>.  En l</w:t>
      </w:r>
      <w:r w:rsidR="004618D5" w:rsidRPr="004618D5">
        <w:rPr>
          <w:lang w:val="fr-FR"/>
        </w:rPr>
        <w:t>’</w:t>
      </w:r>
      <w:r w:rsidRPr="004618D5">
        <w:rPr>
          <w:lang w:val="fr-FR"/>
        </w:rPr>
        <w:t xml:space="preserve">espèce, les requérants allèguent que le rejet de la demande du deuxième requérant visant à </w:t>
      </w:r>
      <w:r w:rsidR="005D72A1" w:rsidRPr="004618D5">
        <w:rPr>
          <w:lang w:val="fr-FR"/>
        </w:rPr>
        <w:t>l</w:t>
      </w:r>
      <w:r w:rsidR="004618D5" w:rsidRPr="004618D5">
        <w:rPr>
          <w:lang w:val="fr-FR"/>
        </w:rPr>
        <w:t>’</w:t>
      </w:r>
      <w:r w:rsidRPr="004618D5">
        <w:rPr>
          <w:lang w:val="fr-FR"/>
        </w:rPr>
        <w:t>obten</w:t>
      </w:r>
      <w:r w:rsidR="005D72A1" w:rsidRPr="004618D5">
        <w:rPr>
          <w:lang w:val="fr-FR"/>
        </w:rPr>
        <w:t>tion d</w:t>
      </w:r>
      <w:r w:rsidR="004618D5" w:rsidRPr="004618D5">
        <w:rPr>
          <w:lang w:val="fr-FR"/>
        </w:rPr>
        <w:t>’</w:t>
      </w:r>
      <w:r w:rsidRPr="004618D5">
        <w:rPr>
          <w:lang w:val="fr-FR"/>
        </w:rPr>
        <w:t xml:space="preserve">un permis de séjour </w:t>
      </w:r>
      <w:r w:rsidR="003D1F4C" w:rsidRPr="004618D5">
        <w:rPr>
          <w:lang w:val="fr-FR"/>
        </w:rPr>
        <w:t>pour raison familiale</w:t>
      </w:r>
      <w:r w:rsidRPr="004618D5">
        <w:rPr>
          <w:lang w:val="fr-FR"/>
        </w:rPr>
        <w:t xml:space="preserve"> </w:t>
      </w:r>
      <w:r w:rsidR="005D72A1" w:rsidRPr="004618D5">
        <w:rPr>
          <w:lang w:val="fr-FR"/>
        </w:rPr>
        <w:t>a fait obstacle à leur souhait</w:t>
      </w:r>
      <w:r w:rsidRPr="004618D5">
        <w:rPr>
          <w:lang w:val="fr-FR"/>
        </w:rPr>
        <w:t xml:space="preserve"> de continuer à vivre ensemble en Italie. La Cour doit donc déterminer si ces faits tombent dans le champ d</w:t>
      </w:r>
      <w:r w:rsidR="004618D5" w:rsidRPr="004618D5">
        <w:rPr>
          <w:lang w:val="fr-FR"/>
        </w:rPr>
        <w:t>’</w:t>
      </w:r>
      <w:r w:rsidRPr="004618D5">
        <w:rPr>
          <w:lang w:val="fr-FR"/>
        </w:rPr>
        <w:t>application de l</w:t>
      </w:r>
      <w:r w:rsidR="004618D5" w:rsidRPr="004618D5">
        <w:rPr>
          <w:lang w:val="fr-FR"/>
        </w:rPr>
        <w:t>’</w:t>
      </w:r>
      <w:r w:rsidRPr="004618D5">
        <w:rPr>
          <w:lang w:val="fr-FR"/>
        </w:rPr>
        <w:t>article 8 de la Convention.</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55</w:t>
      </w:r>
      <w:r w:rsidRPr="004618D5">
        <w:rPr>
          <w:lang w:val="fr-FR"/>
        </w:rPr>
        <w:fldChar w:fldCharType="end"/>
      </w:r>
      <w:r w:rsidRPr="004618D5">
        <w:rPr>
          <w:lang w:val="fr-FR"/>
        </w:rPr>
        <w:t>.  </w:t>
      </w:r>
      <w:r w:rsidRPr="004618D5">
        <w:rPr>
          <w:rFonts w:cstheme="minorHAnsi"/>
          <w:lang w:val="fr-FR"/>
        </w:rPr>
        <w:t>À</w:t>
      </w:r>
      <w:r w:rsidRPr="004618D5">
        <w:rPr>
          <w:lang w:val="fr-FR"/>
        </w:rPr>
        <w:t xml:space="preserve"> cet égard, </w:t>
      </w:r>
      <w:r w:rsidR="006A002F" w:rsidRPr="004618D5">
        <w:rPr>
          <w:lang w:val="fr-FR"/>
        </w:rPr>
        <w:t>elle</w:t>
      </w:r>
      <w:r w:rsidRPr="004618D5">
        <w:rPr>
          <w:lang w:val="fr-FR"/>
        </w:rPr>
        <w:t xml:space="preserve"> rappelle que, suivant un principe de droit international bien établi, les États </w:t>
      </w:r>
      <w:r w:rsidR="009B345B" w:rsidRPr="004618D5">
        <w:rPr>
          <w:lang w:val="fr-FR"/>
        </w:rPr>
        <w:t>peuvent</w:t>
      </w:r>
      <w:r w:rsidRPr="004618D5">
        <w:rPr>
          <w:lang w:val="fr-FR"/>
        </w:rPr>
        <w:t>, sans préjudice des engagements découlant pour eux de traités, contrôler l</w:t>
      </w:r>
      <w:r w:rsidR="004618D5" w:rsidRPr="004618D5">
        <w:rPr>
          <w:lang w:val="fr-FR"/>
        </w:rPr>
        <w:t>’</w:t>
      </w:r>
      <w:r w:rsidRPr="004618D5">
        <w:rPr>
          <w:lang w:val="fr-FR"/>
        </w:rPr>
        <w:t xml:space="preserve">entrée et le séjour des </w:t>
      </w:r>
      <w:r w:rsidR="00615786" w:rsidRPr="004618D5">
        <w:rPr>
          <w:lang w:val="fr-FR"/>
        </w:rPr>
        <w:t>non</w:t>
      </w:r>
      <w:r w:rsidR="00615786" w:rsidRPr="004618D5">
        <w:rPr>
          <w:lang w:val="fr-FR"/>
        </w:rPr>
        <w:noBreakHyphen/>
      </w:r>
      <w:r w:rsidRPr="004618D5">
        <w:rPr>
          <w:lang w:val="fr-FR"/>
        </w:rPr>
        <w:t>nationaux sur leur sol. La Convention ne garantit pas le droit pour un étranger d</w:t>
      </w:r>
      <w:r w:rsidR="004618D5" w:rsidRPr="004618D5">
        <w:rPr>
          <w:lang w:val="fr-FR"/>
        </w:rPr>
        <w:t>’</w:t>
      </w:r>
      <w:r w:rsidRPr="004618D5">
        <w:rPr>
          <w:lang w:val="fr-FR"/>
        </w:rPr>
        <w:t xml:space="preserve">entrer ou de résider dans un pays particulier (voir, par exemple, </w:t>
      </w:r>
      <w:r w:rsidRPr="004618D5">
        <w:rPr>
          <w:i/>
          <w:lang w:val="fr-FR"/>
        </w:rPr>
        <w:t>Nunez c. Norvège</w:t>
      </w:r>
      <w:r w:rsidRPr="004618D5">
        <w:rPr>
          <w:lang w:val="fr-FR"/>
        </w:rPr>
        <w:t>, n</w:t>
      </w:r>
      <w:r w:rsidR="00B55B33" w:rsidRPr="004618D5">
        <w:rPr>
          <w:vertAlign w:val="superscript"/>
          <w:lang w:val="fr-FR"/>
        </w:rPr>
        <w:t>o</w:t>
      </w:r>
      <w:r w:rsidRPr="004618D5">
        <w:rPr>
          <w:lang w:val="fr-FR"/>
        </w:rPr>
        <w:t xml:space="preserve"> 55597/09, § 66, 28 juin 2011). Le corollaire du droit </w:t>
      </w:r>
      <w:r w:rsidRPr="004618D5">
        <w:rPr>
          <w:lang w:val="fr-FR"/>
        </w:rPr>
        <w:lastRenderedPageBreak/>
        <w:t>pour les États de contrôler l</w:t>
      </w:r>
      <w:r w:rsidR="004618D5" w:rsidRPr="004618D5">
        <w:rPr>
          <w:lang w:val="fr-FR"/>
        </w:rPr>
        <w:t>’</w:t>
      </w:r>
      <w:r w:rsidRPr="004618D5">
        <w:rPr>
          <w:lang w:val="fr-FR"/>
        </w:rPr>
        <w:t>immigration est que les étrangers – et donc, en l</w:t>
      </w:r>
      <w:r w:rsidR="004618D5" w:rsidRPr="004618D5">
        <w:rPr>
          <w:lang w:val="fr-FR"/>
        </w:rPr>
        <w:t>’</w:t>
      </w:r>
      <w:r w:rsidRPr="004618D5">
        <w:rPr>
          <w:lang w:val="fr-FR"/>
        </w:rPr>
        <w:t>espèce, le deuxième requérant – ont l</w:t>
      </w:r>
      <w:r w:rsidR="004618D5" w:rsidRPr="004618D5">
        <w:rPr>
          <w:lang w:val="fr-FR"/>
        </w:rPr>
        <w:t>’</w:t>
      </w:r>
      <w:r w:rsidRPr="004618D5">
        <w:rPr>
          <w:lang w:val="fr-FR"/>
        </w:rPr>
        <w:t>obligation de se soumettre aux contrôles et aux procédures d</w:t>
      </w:r>
      <w:r w:rsidR="004618D5" w:rsidRPr="004618D5">
        <w:rPr>
          <w:lang w:val="fr-FR"/>
        </w:rPr>
        <w:t>’</w:t>
      </w:r>
      <w:r w:rsidRPr="004618D5">
        <w:rPr>
          <w:lang w:val="fr-FR"/>
        </w:rPr>
        <w:t>immigration et de quitter le territoire de l</w:t>
      </w:r>
      <w:r w:rsidR="004618D5" w:rsidRPr="004618D5">
        <w:rPr>
          <w:lang w:val="fr-FR"/>
        </w:rPr>
        <w:t>’</w:t>
      </w:r>
      <w:r w:rsidRPr="004618D5">
        <w:rPr>
          <w:lang w:val="fr-FR"/>
        </w:rPr>
        <w:t>État contractant concerné lorsqu</w:t>
      </w:r>
      <w:r w:rsidR="004618D5" w:rsidRPr="004618D5">
        <w:rPr>
          <w:lang w:val="fr-FR"/>
        </w:rPr>
        <w:t>’</w:t>
      </w:r>
      <w:r w:rsidRPr="004618D5">
        <w:rPr>
          <w:lang w:val="fr-FR"/>
        </w:rPr>
        <w:t>ils en reçoivent l</w:t>
      </w:r>
      <w:r w:rsidR="004618D5" w:rsidRPr="004618D5">
        <w:rPr>
          <w:lang w:val="fr-FR"/>
        </w:rPr>
        <w:t>’</w:t>
      </w:r>
      <w:r w:rsidRPr="004618D5">
        <w:rPr>
          <w:lang w:val="fr-FR"/>
        </w:rPr>
        <w:t>ordre si l</w:t>
      </w:r>
      <w:r w:rsidR="004618D5" w:rsidRPr="004618D5">
        <w:rPr>
          <w:lang w:val="fr-FR"/>
        </w:rPr>
        <w:t>’</w:t>
      </w:r>
      <w:r w:rsidRPr="004618D5">
        <w:rPr>
          <w:lang w:val="fr-FR"/>
        </w:rPr>
        <w:t>entrée ou le séjour sur ce territoire leur sont valablement refusés (</w:t>
      </w:r>
      <w:r w:rsidRPr="004618D5">
        <w:rPr>
          <w:i/>
          <w:lang w:val="fr-FR"/>
        </w:rPr>
        <w:t>Jeunesse c. Pays-Bas</w:t>
      </w:r>
      <w:r w:rsidRPr="004618D5">
        <w:rPr>
          <w:lang w:val="fr-FR"/>
        </w:rPr>
        <w:t xml:space="preserve"> [GC], n</w:t>
      </w:r>
      <w:r w:rsidR="00B55B33" w:rsidRPr="004618D5">
        <w:rPr>
          <w:vertAlign w:val="superscript"/>
          <w:lang w:val="fr-FR"/>
        </w:rPr>
        <w:t>o</w:t>
      </w:r>
      <w:r w:rsidRPr="004618D5">
        <w:rPr>
          <w:lang w:val="fr-FR"/>
        </w:rPr>
        <w:t> 12738/10, § 100, 3 octobre 2014).</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56</w:t>
      </w:r>
      <w:r w:rsidRPr="004618D5">
        <w:rPr>
          <w:lang w:val="fr-FR"/>
        </w:rPr>
        <w:fldChar w:fldCharType="end"/>
      </w:r>
      <w:r w:rsidRPr="004618D5">
        <w:rPr>
          <w:lang w:val="fr-FR"/>
        </w:rPr>
        <w:t>.  </w:t>
      </w:r>
      <w:r w:rsidR="00966459" w:rsidRPr="004618D5">
        <w:rPr>
          <w:lang w:val="fr-FR"/>
        </w:rPr>
        <w:t>L</w:t>
      </w:r>
      <w:r w:rsidR="004618D5" w:rsidRPr="004618D5">
        <w:rPr>
          <w:lang w:val="fr-FR"/>
        </w:rPr>
        <w:t>’</w:t>
      </w:r>
      <w:r w:rsidRPr="004618D5">
        <w:rPr>
          <w:lang w:val="fr-FR"/>
        </w:rPr>
        <w:t xml:space="preserve">article </w:t>
      </w:r>
      <w:r w:rsidRPr="004618D5">
        <w:rPr>
          <w:bCs/>
          <w:lang w:val="fr-FR"/>
        </w:rPr>
        <w:t>8</w:t>
      </w:r>
      <w:r w:rsidRPr="004618D5">
        <w:rPr>
          <w:lang w:val="fr-FR"/>
        </w:rPr>
        <w:t xml:space="preserve"> </w:t>
      </w:r>
      <w:r w:rsidR="00110DD3" w:rsidRPr="004618D5">
        <w:rPr>
          <w:lang w:val="fr-FR"/>
        </w:rPr>
        <w:t xml:space="preserve">de la Convention </w:t>
      </w:r>
      <w:r w:rsidRPr="004618D5">
        <w:rPr>
          <w:lang w:val="fr-FR"/>
        </w:rPr>
        <w:t>ne saurait s</w:t>
      </w:r>
      <w:r w:rsidR="004618D5" w:rsidRPr="004618D5">
        <w:rPr>
          <w:lang w:val="fr-FR"/>
        </w:rPr>
        <w:t>’</w:t>
      </w:r>
      <w:r w:rsidRPr="004618D5">
        <w:rPr>
          <w:lang w:val="fr-FR"/>
        </w:rPr>
        <w:t>interpréter comme comportant pour un État contractant une obligation générale de respecter le choix, par une famille, de son domicile commun et d</w:t>
      </w:r>
      <w:r w:rsidR="004618D5" w:rsidRPr="004618D5">
        <w:rPr>
          <w:lang w:val="fr-FR"/>
        </w:rPr>
        <w:t>’</w:t>
      </w:r>
      <w:r w:rsidRPr="004618D5">
        <w:rPr>
          <w:lang w:val="fr-FR"/>
        </w:rPr>
        <w:t>accepter l</w:t>
      </w:r>
      <w:r w:rsidR="004618D5" w:rsidRPr="004618D5">
        <w:rPr>
          <w:lang w:val="fr-FR"/>
        </w:rPr>
        <w:t>’</w:t>
      </w:r>
      <w:r w:rsidRPr="004618D5">
        <w:rPr>
          <w:lang w:val="fr-FR"/>
        </w:rPr>
        <w:t xml:space="preserve">installation de </w:t>
      </w:r>
      <w:r w:rsidR="003D1F4C" w:rsidRPr="004618D5">
        <w:rPr>
          <w:lang w:val="fr-FR"/>
        </w:rPr>
        <w:t xml:space="preserve">conjoints non nationaux </w:t>
      </w:r>
      <w:r w:rsidRPr="004618D5">
        <w:rPr>
          <w:lang w:val="fr-FR"/>
        </w:rPr>
        <w:t xml:space="preserve">dans le pays ou </w:t>
      </w:r>
      <w:r w:rsidR="00110DD3" w:rsidRPr="004618D5">
        <w:rPr>
          <w:lang w:val="fr-FR"/>
        </w:rPr>
        <w:t>d</w:t>
      </w:r>
      <w:r w:rsidR="004618D5" w:rsidRPr="004618D5">
        <w:rPr>
          <w:lang w:val="fr-FR"/>
        </w:rPr>
        <w:t>’</w:t>
      </w:r>
      <w:r w:rsidRPr="004618D5">
        <w:rPr>
          <w:lang w:val="fr-FR"/>
        </w:rPr>
        <w:t xml:space="preserve">autoriser le </w:t>
      </w:r>
      <w:r w:rsidRPr="004618D5">
        <w:rPr>
          <w:bCs/>
          <w:lang w:val="fr-FR"/>
        </w:rPr>
        <w:t>regroupement</w:t>
      </w:r>
      <w:r w:rsidRPr="004618D5">
        <w:rPr>
          <w:lang w:val="fr-FR"/>
        </w:rPr>
        <w:t xml:space="preserve"> </w:t>
      </w:r>
      <w:r w:rsidRPr="004618D5">
        <w:rPr>
          <w:bCs/>
          <w:lang w:val="fr-FR"/>
        </w:rPr>
        <w:t>familial</w:t>
      </w:r>
      <w:r w:rsidRPr="004618D5">
        <w:rPr>
          <w:lang w:val="fr-FR"/>
        </w:rPr>
        <w:t xml:space="preserve"> sur son territoire (</w:t>
      </w:r>
      <w:r w:rsidRPr="004618D5">
        <w:rPr>
          <w:i/>
          <w:lang w:val="fr-FR"/>
        </w:rPr>
        <w:t>Abdulaziz, Cabales et Balkandali c. Royaume-Uni</w:t>
      </w:r>
      <w:r w:rsidRPr="004618D5">
        <w:rPr>
          <w:lang w:val="fr-FR"/>
        </w:rPr>
        <w:t>, 28 mai 1985, § 68, série A n</w:t>
      </w:r>
      <w:r w:rsidRPr="004618D5">
        <w:rPr>
          <w:vertAlign w:val="superscript"/>
          <w:lang w:val="fr-FR"/>
        </w:rPr>
        <w:t>o</w:t>
      </w:r>
      <w:r w:rsidRPr="004618D5">
        <w:rPr>
          <w:lang w:val="fr-FR"/>
        </w:rPr>
        <w:t xml:space="preserve"> 94</w:t>
      </w:r>
      <w:r w:rsidR="003D1F4C" w:rsidRPr="004618D5">
        <w:rPr>
          <w:lang w:val="fr-FR"/>
        </w:rPr>
        <w:t>,</w:t>
      </w:r>
      <w:r w:rsidRPr="004618D5">
        <w:rPr>
          <w:lang w:val="fr-FR"/>
        </w:rPr>
        <w:t xml:space="preserve"> </w:t>
      </w:r>
      <w:r w:rsidRPr="004618D5">
        <w:rPr>
          <w:i/>
          <w:lang w:val="fr-FR"/>
        </w:rPr>
        <w:t>Bouhadef c. Suisse</w:t>
      </w:r>
      <w:r w:rsidRPr="004618D5">
        <w:rPr>
          <w:lang w:val="fr-FR"/>
        </w:rPr>
        <w:t xml:space="preserve"> (déc.), n</w:t>
      </w:r>
      <w:r w:rsidRPr="004618D5">
        <w:rPr>
          <w:vertAlign w:val="superscript"/>
          <w:lang w:val="fr-FR"/>
        </w:rPr>
        <w:t>o</w:t>
      </w:r>
      <w:r w:rsidRPr="004618D5">
        <w:rPr>
          <w:lang w:val="fr-FR"/>
        </w:rPr>
        <w:t> 14022/02, 12 novembre</w:t>
      </w:r>
      <w:r w:rsidR="004618D5" w:rsidRPr="004618D5">
        <w:rPr>
          <w:lang w:val="fr-FR"/>
        </w:rPr>
        <w:t xml:space="preserve"> </w:t>
      </w:r>
      <w:r w:rsidRPr="004618D5">
        <w:rPr>
          <w:lang w:val="fr-FR"/>
        </w:rPr>
        <w:t>2002</w:t>
      </w:r>
      <w:r w:rsidR="003D1F4C" w:rsidRPr="004618D5">
        <w:rPr>
          <w:lang w:val="fr-FR"/>
        </w:rPr>
        <w:t xml:space="preserve">, </w:t>
      </w:r>
      <w:r w:rsidRPr="004618D5">
        <w:rPr>
          <w:i/>
          <w:lang w:val="fr-FR"/>
        </w:rPr>
        <w:t>Kumar et Seewoochurn c. France</w:t>
      </w:r>
      <w:r w:rsidRPr="004618D5">
        <w:rPr>
          <w:lang w:val="fr-FR"/>
        </w:rPr>
        <w:t xml:space="preserve"> (déc.), n</w:t>
      </w:r>
      <w:r w:rsidRPr="004618D5">
        <w:rPr>
          <w:vertAlign w:val="superscript"/>
          <w:lang w:val="fr-FR"/>
        </w:rPr>
        <w:t>os</w:t>
      </w:r>
      <w:r w:rsidR="00EE3A23" w:rsidRPr="004618D5">
        <w:rPr>
          <w:lang w:val="fr-FR"/>
        </w:rPr>
        <w:t> </w:t>
      </w:r>
      <w:r w:rsidR="004618D5" w:rsidRPr="004618D5">
        <w:rPr>
          <w:lang w:val="fr-FR"/>
        </w:rPr>
        <w:t>1892/06 et </w:t>
      </w:r>
      <w:r w:rsidRPr="004618D5">
        <w:rPr>
          <w:lang w:val="fr-FR"/>
        </w:rPr>
        <w:t>1908/06, 17</w:t>
      </w:r>
      <w:r w:rsidR="00F76D9C" w:rsidRPr="004618D5">
        <w:rPr>
          <w:lang w:val="fr-FR"/>
        </w:rPr>
        <w:t xml:space="preserve"> </w:t>
      </w:r>
      <w:r w:rsidRPr="004618D5">
        <w:rPr>
          <w:lang w:val="fr-FR"/>
        </w:rPr>
        <w:t>juin 2008</w:t>
      </w:r>
      <w:r w:rsidR="003D1F4C" w:rsidRPr="004618D5">
        <w:rPr>
          <w:lang w:val="fr-FR"/>
        </w:rPr>
        <w:t>,</w:t>
      </w:r>
      <w:r w:rsidRPr="004618D5">
        <w:rPr>
          <w:lang w:val="fr-FR"/>
        </w:rPr>
        <w:t xml:space="preserve"> et </w:t>
      </w:r>
      <w:r w:rsidRPr="004618D5">
        <w:rPr>
          <w:i/>
          <w:lang w:val="fr-FR"/>
        </w:rPr>
        <w:t>Baltaji c. Bulgarie</w:t>
      </w:r>
      <w:r w:rsidRPr="004618D5">
        <w:rPr>
          <w:lang w:val="fr-FR"/>
        </w:rPr>
        <w:t>, n</w:t>
      </w:r>
      <w:r w:rsidRPr="004618D5">
        <w:rPr>
          <w:vertAlign w:val="superscript"/>
          <w:lang w:val="fr-FR"/>
        </w:rPr>
        <w:t>o</w:t>
      </w:r>
      <w:r w:rsidRPr="004618D5">
        <w:rPr>
          <w:lang w:val="fr-FR"/>
        </w:rPr>
        <w:t xml:space="preserve"> 12919/04</w:t>
      </w:r>
      <w:r w:rsidRPr="004618D5">
        <w:rPr>
          <w:snapToGrid w:val="0"/>
          <w:szCs w:val="24"/>
          <w:lang w:val="fr-FR"/>
        </w:rPr>
        <w:t>, §</w:t>
      </w:r>
      <w:r w:rsidR="00701159" w:rsidRPr="004618D5">
        <w:rPr>
          <w:snapToGrid w:val="0"/>
          <w:szCs w:val="24"/>
          <w:lang w:val="fr-FR"/>
        </w:rPr>
        <w:t> </w:t>
      </w:r>
      <w:r w:rsidRPr="004618D5">
        <w:rPr>
          <w:snapToGrid w:val="0"/>
          <w:szCs w:val="24"/>
          <w:lang w:val="fr-FR"/>
        </w:rPr>
        <w:t xml:space="preserve">30, 12 </w:t>
      </w:r>
      <w:r w:rsidRPr="004618D5">
        <w:rPr>
          <w:szCs w:val="24"/>
          <w:lang w:val="fr-FR"/>
        </w:rPr>
        <w:t>juillet</w:t>
      </w:r>
      <w:r w:rsidRPr="004618D5">
        <w:rPr>
          <w:snapToGrid w:val="0"/>
          <w:szCs w:val="24"/>
          <w:lang w:val="fr-FR"/>
        </w:rPr>
        <w:t xml:space="preserve"> 2011</w:t>
      </w:r>
      <w:r w:rsidRPr="004618D5">
        <w:rPr>
          <w:lang w:val="fr-FR"/>
        </w:rPr>
        <w:t>). Néanmoins, les décisions prises par les États en matière d</w:t>
      </w:r>
      <w:r w:rsidR="004618D5" w:rsidRPr="004618D5">
        <w:rPr>
          <w:lang w:val="fr-FR"/>
        </w:rPr>
        <w:t>’</w:t>
      </w:r>
      <w:r w:rsidRPr="004618D5">
        <w:rPr>
          <w:lang w:val="fr-FR"/>
        </w:rPr>
        <w:t>immigration peuvent, dans certains cas, constituer une ingérence dans l</w:t>
      </w:r>
      <w:r w:rsidR="004618D5" w:rsidRPr="004618D5">
        <w:rPr>
          <w:lang w:val="fr-FR"/>
        </w:rPr>
        <w:t>’</w:t>
      </w:r>
      <w:r w:rsidRPr="004618D5">
        <w:rPr>
          <w:lang w:val="fr-FR"/>
        </w:rPr>
        <w:t>exercice du droit au respect de la vie privée et familiale protégé par l</w:t>
      </w:r>
      <w:r w:rsidR="004618D5" w:rsidRPr="004618D5">
        <w:rPr>
          <w:lang w:val="fr-FR"/>
        </w:rPr>
        <w:t>’</w:t>
      </w:r>
      <w:r w:rsidRPr="004618D5">
        <w:rPr>
          <w:lang w:val="fr-FR"/>
        </w:rPr>
        <w:t>article 8 de la Convention notamment lorsque les intéressés ont, dans l</w:t>
      </w:r>
      <w:r w:rsidR="004618D5" w:rsidRPr="004618D5">
        <w:rPr>
          <w:lang w:val="fr-FR"/>
        </w:rPr>
        <w:t>’</w:t>
      </w:r>
      <w:r w:rsidRPr="004618D5">
        <w:rPr>
          <w:lang w:val="fr-FR"/>
        </w:rPr>
        <w:t>État d</w:t>
      </w:r>
      <w:r w:rsidR="004618D5" w:rsidRPr="004618D5">
        <w:rPr>
          <w:lang w:val="fr-FR"/>
        </w:rPr>
        <w:t>’</w:t>
      </w:r>
      <w:r w:rsidRPr="004618D5">
        <w:rPr>
          <w:lang w:val="fr-FR"/>
        </w:rPr>
        <w:t>accueil, des liens personnels ou familiaux suffisamment forts qui risquent d</w:t>
      </w:r>
      <w:r w:rsidR="004618D5" w:rsidRPr="004618D5">
        <w:rPr>
          <w:lang w:val="fr-FR"/>
        </w:rPr>
        <w:t>’</w:t>
      </w:r>
      <w:r w:rsidRPr="004618D5">
        <w:rPr>
          <w:lang w:val="fr-FR"/>
        </w:rPr>
        <w:t>être gravement compromis en cas d</w:t>
      </w:r>
      <w:r w:rsidR="004618D5" w:rsidRPr="004618D5">
        <w:rPr>
          <w:lang w:val="fr-FR"/>
        </w:rPr>
        <w:t>’</w:t>
      </w:r>
      <w:r w:rsidRPr="004618D5">
        <w:rPr>
          <w:lang w:val="fr-FR"/>
        </w:rPr>
        <w:t>application de la mesure en question (voir, par exemple</w:t>
      </w:r>
      <w:r w:rsidRPr="004618D5">
        <w:rPr>
          <w:i/>
          <w:lang w:val="fr-FR"/>
        </w:rPr>
        <w:t>, Moustaquim c. Belgique</w:t>
      </w:r>
      <w:r w:rsidRPr="004618D5">
        <w:rPr>
          <w:lang w:val="fr-FR"/>
        </w:rPr>
        <w:t>, 18 février 1991, § 36, série A n</w:t>
      </w:r>
      <w:r w:rsidRPr="004618D5">
        <w:rPr>
          <w:vertAlign w:val="superscript"/>
          <w:lang w:val="fr-FR"/>
        </w:rPr>
        <w:t>o </w:t>
      </w:r>
      <w:r w:rsidRPr="004618D5">
        <w:rPr>
          <w:lang w:val="fr-FR"/>
        </w:rPr>
        <w:t>193</w:t>
      </w:r>
      <w:r w:rsidR="003D1F4C" w:rsidRPr="004618D5">
        <w:rPr>
          <w:lang w:val="fr-FR"/>
        </w:rPr>
        <w:t>,</w:t>
      </w:r>
      <w:r w:rsidRPr="004618D5">
        <w:rPr>
          <w:lang w:val="fr-FR"/>
        </w:rPr>
        <w:t xml:space="preserve"> </w:t>
      </w:r>
      <w:r w:rsidRPr="004618D5">
        <w:rPr>
          <w:i/>
          <w:lang w:val="fr-FR"/>
        </w:rPr>
        <w:t>Dalia c. France</w:t>
      </w:r>
      <w:r w:rsidRPr="004618D5">
        <w:rPr>
          <w:lang w:val="fr-FR"/>
        </w:rPr>
        <w:t xml:space="preserve">, 19 février 1998, § 52, </w:t>
      </w:r>
      <w:r w:rsidRPr="004618D5">
        <w:rPr>
          <w:i/>
          <w:lang w:val="fr-FR"/>
        </w:rPr>
        <w:t>Recueil des arrêts et décisions</w:t>
      </w:r>
      <w:r w:rsidRPr="004618D5">
        <w:rPr>
          <w:i/>
          <w:iCs/>
          <w:lang w:val="fr-FR"/>
        </w:rPr>
        <w:t xml:space="preserve"> </w:t>
      </w:r>
      <w:r w:rsidRPr="004618D5">
        <w:rPr>
          <w:lang w:val="fr-FR"/>
        </w:rPr>
        <w:t>1998-I</w:t>
      </w:r>
      <w:r w:rsidR="003D1F4C" w:rsidRPr="004618D5">
        <w:rPr>
          <w:lang w:val="fr-FR"/>
        </w:rPr>
        <w:t>,</w:t>
      </w:r>
      <w:r w:rsidRPr="004618D5">
        <w:rPr>
          <w:lang w:val="fr-FR"/>
        </w:rPr>
        <w:t xml:space="preserve"> et </w:t>
      </w:r>
      <w:r w:rsidRPr="004618D5">
        <w:rPr>
          <w:i/>
          <w:lang w:val="fr-FR"/>
        </w:rPr>
        <w:t>Hamidovic c. Italie</w:t>
      </w:r>
      <w:r w:rsidRPr="004618D5">
        <w:rPr>
          <w:lang w:val="fr-FR"/>
        </w:rPr>
        <w:t>, n</w:t>
      </w:r>
      <w:r w:rsidR="00B55B33" w:rsidRPr="004618D5">
        <w:rPr>
          <w:vertAlign w:val="superscript"/>
          <w:lang w:val="fr-FR"/>
        </w:rPr>
        <w:t>o</w:t>
      </w:r>
      <w:r w:rsidR="007F4ED4" w:rsidRPr="004618D5">
        <w:rPr>
          <w:lang w:val="fr-FR"/>
        </w:rPr>
        <w:t> 31956/05, § </w:t>
      </w:r>
      <w:r w:rsidRPr="004618D5">
        <w:rPr>
          <w:lang w:val="fr-FR"/>
        </w:rPr>
        <w:t>37, 4</w:t>
      </w:r>
      <w:r w:rsidR="006A002F" w:rsidRPr="004618D5">
        <w:rPr>
          <w:lang w:val="fr-FR"/>
        </w:rPr>
        <w:t> </w:t>
      </w:r>
      <w:r w:rsidRPr="004618D5">
        <w:rPr>
          <w:lang w:val="fr-FR"/>
        </w:rPr>
        <w:t>décembre</w:t>
      </w:r>
      <w:r w:rsidR="004618D5" w:rsidRPr="004618D5">
        <w:rPr>
          <w:lang w:val="fr-FR"/>
        </w:rPr>
        <w:t xml:space="preserve"> </w:t>
      </w:r>
      <w:r w:rsidRPr="004618D5">
        <w:rPr>
          <w:lang w:val="fr-FR"/>
        </w:rPr>
        <w:t>2012).</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57</w:t>
      </w:r>
      <w:r w:rsidRPr="004618D5">
        <w:rPr>
          <w:lang w:val="fr-FR"/>
        </w:rPr>
        <w:fldChar w:fldCharType="end"/>
      </w:r>
      <w:r w:rsidRPr="004618D5">
        <w:rPr>
          <w:lang w:val="fr-FR"/>
        </w:rPr>
        <w:t>.  En l</w:t>
      </w:r>
      <w:r w:rsidR="004618D5" w:rsidRPr="004618D5">
        <w:rPr>
          <w:lang w:val="fr-FR"/>
        </w:rPr>
        <w:t>’</w:t>
      </w:r>
      <w:r w:rsidRPr="004618D5">
        <w:rPr>
          <w:lang w:val="fr-FR"/>
        </w:rPr>
        <w:t xml:space="preserve">espèce, </w:t>
      </w:r>
      <w:r w:rsidR="00897AFE" w:rsidRPr="004618D5">
        <w:rPr>
          <w:lang w:val="fr-FR"/>
        </w:rPr>
        <w:t xml:space="preserve">la Cour note que </w:t>
      </w:r>
      <w:r w:rsidRPr="004618D5">
        <w:rPr>
          <w:lang w:val="fr-FR"/>
        </w:rPr>
        <w:t xml:space="preserve">les requérants, qui forment un couple homosexuel depuis 1999, </w:t>
      </w:r>
      <w:r w:rsidR="00897AFE" w:rsidRPr="004618D5">
        <w:rPr>
          <w:lang w:val="fr-FR"/>
        </w:rPr>
        <w:t>se sont installés</w:t>
      </w:r>
      <w:r w:rsidRPr="004618D5">
        <w:rPr>
          <w:lang w:val="fr-FR"/>
        </w:rPr>
        <w:t xml:space="preserve"> en Italie en décembre 2003 (paragraphe </w:t>
      </w:r>
      <w:r w:rsidR="003C71B5" w:rsidRPr="004618D5">
        <w:rPr>
          <w:lang w:val="fr-FR"/>
        </w:rPr>
        <w:t>8</w:t>
      </w:r>
      <w:r w:rsidRPr="004618D5">
        <w:rPr>
          <w:lang w:val="fr-FR"/>
        </w:rPr>
        <w:t xml:space="preserve"> ci-dessus)</w:t>
      </w:r>
      <w:r w:rsidR="00216E6F" w:rsidRPr="004618D5">
        <w:rPr>
          <w:lang w:val="fr-FR"/>
        </w:rPr>
        <w:t>.</w:t>
      </w:r>
      <w:r w:rsidRPr="004618D5">
        <w:rPr>
          <w:lang w:val="fr-FR"/>
        </w:rPr>
        <w:t xml:space="preserve"> </w:t>
      </w:r>
      <w:r w:rsidR="00216E6F" w:rsidRPr="004618D5">
        <w:rPr>
          <w:lang w:val="fr-FR"/>
        </w:rPr>
        <w:t>L</w:t>
      </w:r>
      <w:r w:rsidRPr="004618D5">
        <w:rPr>
          <w:lang w:val="fr-FR"/>
        </w:rPr>
        <w:t xml:space="preserve">e deuxième requérant a pu initialement </w:t>
      </w:r>
      <w:r w:rsidR="00216E6F" w:rsidRPr="004618D5">
        <w:rPr>
          <w:lang w:val="fr-FR"/>
        </w:rPr>
        <w:t xml:space="preserve">y </w:t>
      </w:r>
      <w:r w:rsidRPr="004618D5">
        <w:rPr>
          <w:lang w:val="fr-FR"/>
        </w:rPr>
        <w:t>résider grâce à une carte de séjour temporaire pour étudiant (paragraphe</w:t>
      </w:r>
      <w:r w:rsidR="00FA475C" w:rsidRPr="004618D5">
        <w:rPr>
          <w:lang w:val="fr-FR"/>
        </w:rPr>
        <w:t> </w:t>
      </w:r>
      <w:r w:rsidR="003C71B5" w:rsidRPr="004618D5">
        <w:rPr>
          <w:lang w:val="fr-FR"/>
        </w:rPr>
        <w:t>9</w:t>
      </w:r>
      <w:r w:rsidR="00615786" w:rsidRPr="004618D5">
        <w:rPr>
          <w:lang w:val="fr-FR"/>
        </w:rPr>
        <w:t xml:space="preserve"> ci</w:t>
      </w:r>
      <w:r w:rsidR="00615786" w:rsidRPr="004618D5">
        <w:rPr>
          <w:lang w:val="fr-FR"/>
        </w:rPr>
        <w:noBreakHyphen/>
      </w:r>
      <w:r w:rsidRPr="004618D5">
        <w:rPr>
          <w:lang w:val="fr-FR"/>
        </w:rPr>
        <w:t>dessus). Lorsque, le 18</w:t>
      </w:r>
      <w:r w:rsidR="006A002F" w:rsidRPr="004618D5">
        <w:rPr>
          <w:lang w:val="fr-FR"/>
        </w:rPr>
        <w:t> </w:t>
      </w:r>
      <w:r w:rsidRPr="004618D5">
        <w:rPr>
          <w:lang w:val="fr-FR"/>
        </w:rPr>
        <w:t xml:space="preserve">octobre 2004, le chef de la police de Livourne a refusé de lui octroyer un permis de séjour </w:t>
      </w:r>
      <w:r w:rsidR="00216E6F" w:rsidRPr="004618D5">
        <w:rPr>
          <w:lang w:val="fr-FR"/>
        </w:rPr>
        <w:t>pour raison familiale</w:t>
      </w:r>
      <w:r w:rsidRPr="004618D5">
        <w:rPr>
          <w:lang w:val="fr-FR"/>
        </w:rPr>
        <w:t xml:space="preserve"> (paragraphe</w:t>
      </w:r>
      <w:r w:rsidR="00686460" w:rsidRPr="004618D5">
        <w:rPr>
          <w:lang w:val="fr-FR"/>
        </w:rPr>
        <w:t> </w:t>
      </w:r>
      <w:r w:rsidR="003C71B5" w:rsidRPr="004618D5">
        <w:rPr>
          <w:lang w:val="fr-FR"/>
        </w:rPr>
        <w:t>10</w:t>
      </w:r>
      <w:r w:rsidRPr="004618D5">
        <w:rPr>
          <w:lang w:val="fr-FR"/>
        </w:rPr>
        <w:t xml:space="preserve"> ci-dessus), les requérants </w:t>
      </w:r>
      <w:r w:rsidR="004C2489" w:rsidRPr="004618D5">
        <w:rPr>
          <w:lang w:val="fr-FR"/>
        </w:rPr>
        <w:t>cohabitaient déjà</w:t>
      </w:r>
      <w:r w:rsidRPr="004618D5">
        <w:rPr>
          <w:lang w:val="fr-FR"/>
        </w:rPr>
        <w:t xml:space="preserve"> en Italie </w:t>
      </w:r>
      <w:r w:rsidR="004C2489" w:rsidRPr="004618D5">
        <w:rPr>
          <w:lang w:val="fr-FR"/>
        </w:rPr>
        <w:t xml:space="preserve">depuis </w:t>
      </w:r>
      <w:r w:rsidRPr="004618D5">
        <w:rPr>
          <w:lang w:val="fr-FR"/>
        </w:rPr>
        <w:t>environ dix mois.</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58</w:t>
      </w:r>
      <w:r w:rsidRPr="004618D5">
        <w:rPr>
          <w:lang w:val="fr-FR"/>
        </w:rPr>
        <w:fldChar w:fldCharType="end"/>
      </w:r>
      <w:r w:rsidRPr="004618D5">
        <w:rPr>
          <w:lang w:val="fr-FR"/>
        </w:rPr>
        <w:t>.  La Cour rappelle que</w:t>
      </w:r>
      <w:r w:rsidR="004C2489" w:rsidRPr="004618D5">
        <w:rPr>
          <w:lang w:val="fr-FR"/>
        </w:rPr>
        <w:t>,</w:t>
      </w:r>
      <w:r w:rsidRPr="004618D5">
        <w:rPr>
          <w:lang w:val="fr-FR"/>
        </w:rPr>
        <w:t xml:space="preserve"> dans son arrêt </w:t>
      </w:r>
      <w:r w:rsidRPr="004618D5">
        <w:rPr>
          <w:i/>
          <w:lang w:val="fr-FR"/>
        </w:rPr>
        <w:t xml:space="preserve">Schalk et Kopf </w:t>
      </w:r>
      <w:r w:rsidRPr="004618D5">
        <w:rPr>
          <w:lang w:val="fr-FR"/>
        </w:rPr>
        <w:t xml:space="preserve">(précité, § 94), elle a </w:t>
      </w:r>
      <w:r w:rsidR="004C2489" w:rsidRPr="004618D5">
        <w:rPr>
          <w:lang w:val="fr-FR"/>
        </w:rPr>
        <w:t>jugé</w:t>
      </w:r>
      <w:r w:rsidRPr="004618D5">
        <w:rPr>
          <w:lang w:val="fr-FR"/>
        </w:rPr>
        <w:t xml:space="preserve"> qu</w:t>
      </w:r>
      <w:r w:rsidR="004618D5" w:rsidRPr="004618D5">
        <w:rPr>
          <w:lang w:val="fr-FR"/>
        </w:rPr>
        <w:t>’</w:t>
      </w:r>
      <w:r w:rsidRPr="004618D5">
        <w:rPr>
          <w:lang w:val="fr-FR"/>
        </w:rPr>
        <w:t>il était artificiel de continuer à considérer que, au contraire d</w:t>
      </w:r>
      <w:r w:rsidR="004618D5" w:rsidRPr="004618D5">
        <w:rPr>
          <w:lang w:val="fr-FR"/>
        </w:rPr>
        <w:t>’</w:t>
      </w:r>
      <w:r w:rsidRPr="004618D5">
        <w:rPr>
          <w:lang w:val="fr-FR"/>
        </w:rPr>
        <w:t>un couple hétérosexuel, un couple homosexuel ne saurait connaître une «</w:t>
      </w:r>
      <w:r w:rsidR="004C2489" w:rsidRPr="004618D5">
        <w:rPr>
          <w:lang w:val="fr-FR"/>
        </w:rPr>
        <w:t> </w:t>
      </w:r>
      <w:r w:rsidRPr="004618D5">
        <w:rPr>
          <w:lang w:val="fr-FR"/>
        </w:rPr>
        <w:t>vie familiale</w:t>
      </w:r>
      <w:r w:rsidR="004C2489" w:rsidRPr="004618D5">
        <w:rPr>
          <w:lang w:val="fr-FR"/>
        </w:rPr>
        <w:t> </w:t>
      </w:r>
      <w:r w:rsidRPr="004618D5">
        <w:rPr>
          <w:lang w:val="fr-FR"/>
        </w:rPr>
        <w:t xml:space="preserve">» aux </w:t>
      </w:r>
      <w:r w:rsidR="004C2489" w:rsidRPr="004618D5">
        <w:rPr>
          <w:lang w:val="fr-FR"/>
        </w:rPr>
        <w:t xml:space="preserve">termes </w:t>
      </w:r>
      <w:r w:rsidRPr="004618D5">
        <w:rPr>
          <w:lang w:val="fr-FR"/>
        </w:rPr>
        <w:t>de l</w:t>
      </w:r>
      <w:r w:rsidR="004618D5" w:rsidRPr="004618D5">
        <w:rPr>
          <w:lang w:val="fr-FR"/>
        </w:rPr>
        <w:t>’</w:t>
      </w:r>
      <w:r w:rsidRPr="004618D5">
        <w:rPr>
          <w:lang w:val="fr-FR"/>
        </w:rPr>
        <w:t>article 8. Elle a donc estimé que la relation qu</w:t>
      </w:r>
      <w:r w:rsidR="004618D5" w:rsidRPr="004618D5">
        <w:rPr>
          <w:lang w:val="fr-FR"/>
        </w:rPr>
        <w:t>’</w:t>
      </w:r>
      <w:r w:rsidRPr="004618D5">
        <w:rPr>
          <w:lang w:val="fr-FR"/>
        </w:rPr>
        <w:t xml:space="preserve">entretenaient MM. Schalk et Kopf, un couple homosexuel cohabitant </w:t>
      </w:r>
      <w:r w:rsidR="00966459" w:rsidRPr="004618D5">
        <w:rPr>
          <w:i/>
          <w:lang w:val="fr-FR"/>
        </w:rPr>
        <w:t>de facto</w:t>
      </w:r>
      <w:r w:rsidRPr="004618D5">
        <w:rPr>
          <w:lang w:val="fr-FR"/>
        </w:rPr>
        <w:t xml:space="preserve"> de manière stable, relevait de la notion de « vie familiale » au même titre que celle d</w:t>
      </w:r>
      <w:r w:rsidR="004618D5" w:rsidRPr="004618D5">
        <w:rPr>
          <w:lang w:val="fr-FR"/>
        </w:rPr>
        <w:t>’</w:t>
      </w:r>
      <w:r w:rsidRPr="004618D5">
        <w:rPr>
          <w:lang w:val="fr-FR"/>
        </w:rPr>
        <w:t xml:space="preserve">un couple hétérosexuel se trouvant dans la même situation (voir également </w:t>
      </w:r>
      <w:r w:rsidRPr="004618D5">
        <w:rPr>
          <w:i/>
          <w:lang w:val="fr-FR"/>
        </w:rPr>
        <w:t>X et autres c. Autriche</w:t>
      </w:r>
      <w:r w:rsidRPr="004618D5">
        <w:rPr>
          <w:lang w:val="fr-FR"/>
        </w:rPr>
        <w:t xml:space="preserve"> [GC], n</w:t>
      </w:r>
      <w:r w:rsidR="00B55B33" w:rsidRPr="004618D5">
        <w:rPr>
          <w:vertAlign w:val="superscript"/>
          <w:lang w:val="fr-FR"/>
        </w:rPr>
        <w:t>o</w:t>
      </w:r>
      <w:r w:rsidRPr="004618D5">
        <w:rPr>
          <w:lang w:val="fr-FR"/>
        </w:rPr>
        <w:t xml:space="preserve"> 19010/07, §</w:t>
      </w:r>
      <w:r w:rsidR="0037745A" w:rsidRPr="004618D5">
        <w:rPr>
          <w:lang w:val="fr-FR"/>
        </w:rPr>
        <w:t> </w:t>
      </w:r>
      <w:r w:rsidRPr="004618D5">
        <w:rPr>
          <w:lang w:val="fr-FR"/>
        </w:rPr>
        <w:t>95, CEDH</w:t>
      </w:r>
      <w:r w:rsidR="004130A8" w:rsidRPr="004618D5">
        <w:rPr>
          <w:lang w:val="fr-FR"/>
        </w:rPr>
        <w:t> </w:t>
      </w:r>
      <w:r w:rsidRPr="004618D5">
        <w:rPr>
          <w:lang w:val="fr-FR"/>
        </w:rPr>
        <w:t xml:space="preserve">2013). </w:t>
      </w:r>
      <w:r w:rsidR="00897AFE" w:rsidRPr="004618D5">
        <w:rPr>
          <w:lang w:val="fr-FR"/>
        </w:rPr>
        <w:t>Elle</w:t>
      </w:r>
      <w:r w:rsidRPr="004618D5">
        <w:rPr>
          <w:lang w:val="fr-FR"/>
        </w:rPr>
        <w:t xml:space="preserve"> ne voit aucune raison </w:t>
      </w:r>
      <w:r w:rsidR="004C2489" w:rsidRPr="004618D5">
        <w:rPr>
          <w:lang w:val="fr-FR"/>
        </w:rPr>
        <w:t xml:space="preserve">de </w:t>
      </w:r>
      <w:r w:rsidRPr="004618D5">
        <w:rPr>
          <w:lang w:val="fr-FR"/>
        </w:rPr>
        <w:t>parvenir à des conclusions différentes en ce qui concerne les req</w:t>
      </w:r>
      <w:r w:rsidR="00F76D9C" w:rsidRPr="004618D5">
        <w:rPr>
          <w:lang w:val="fr-FR"/>
        </w:rPr>
        <w:t>uérants en la présente affaire.</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59</w:t>
      </w:r>
      <w:r w:rsidRPr="004618D5">
        <w:rPr>
          <w:lang w:val="fr-FR"/>
        </w:rPr>
        <w:fldChar w:fldCharType="end"/>
      </w:r>
      <w:r w:rsidRPr="004618D5">
        <w:rPr>
          <w:lang w:val="fr-FR"/>
        </w:rPr>
        <w:t xml:space="preserve">.  Elle relève de surcroît que le Gouvernement ne conteste pas que le refus </w:t>
      </w:r>
      <w:r w:rsidR="00110DD3" w:rsidRPr="004618D5">
        <w:rPr>
          <w:lang w:val="fr-FR"/>
        </w:rPr>
        <w:t>d</w:t>
      </w:r>
      <w:r w:rsidR="004618D5" w:rsidRPr="004618D5">
        <w:rPr>
          <w:lang w:val="fr-FR"/>
        </w:rPr>
        <w:t>’</w:t>
      </w:r>
      <w:r w:rsidR="00110DD3" w:rsidRPr="004618D5">
        <w:rPr>
          <w:lang w:val="fr-FR"/>
        </w:rPr>
        <w:t xml:space="preserve">octroyer au deuxième requérant un </w:t>
      </w:r>
      <w:r w:rsidRPr="004618D5">
        <w:rPr>
          <w:lang w:val="fr-FR"/>
        </w:rPr>
        <w:t xml:space="preserve">permis de séjour, </w:t>
      </w:r>
      <w:r w:rsidR="00110DD3" w:rsidRPr="004618D5">
        <w:rPr>
          <w:lang w:val="fr-FR"/>
        </w:rPr>
        <w:t xml:space="preserve">refus </w:t>
      </w:r>
      <w:r w:rsidRPr="004618D5">
        <w:rPr>
          <w:lang w:val="fr-FR"/>
        </w:rPr>
        <w:t xml:space="preserve">qui a été </w:t>
      </w:r>
      <w:r w:rsidRPr="004618D5">
        <w:rPr>
          <w:lang w:val="fr-FR"/>
        </w:rPr>
        <w:lastRenderedPageBreak/>
        <w:t xml:space="preserve">confirmé par la Cour de cassation, a impliqué </w:t>
      </w:r>
      <w:r w:rsidR="00110DD3" w:rsidRPr="004618D5">
        <w:rPr>
          <w:lang w:val="fr-FR"/>
        </w:rPr>
        <w:t>pour l</w:t>
      </w:r>
      <w:r w:rsidR="004618D5" w:rsidRPr="004618D5">
        <w:rPr>
          <w:lang w:val="fr-FR"/>
        </w:rPr>
        <w:t>’</w:t>
      </w:r>
      <w:r w:rsidR="00110DD3" w:rsidRPr="004618D5">
        <w:rPr>
          <w:lang w:val="fr-FR"/>
        </w:rPr>
        <w:t xml:space="preserve">intéressé </w:t>
      </w:r>
      <w:r w:rsidRPr="004618D5">
        <w:rPr>
          <w:lang w:val="fr-FR"/>
        </w:rPr>
        <w:t>l</w:t>
      </w:r>
      <w:r w:rsidR="004618D5" w:rsidRPr="004618D5">
        <w:rPr>
          <w:lang w:val="fr-FR"/>
        </w:rPr>
        <w:t>’</w:t>
      </w:r>
      <w:r w:rsidRPr="004618D5">
        <w:rPr>
          <w:lang w:val="fr-FR"/>
        </w:rPr>
        <w:t>obligation légale</w:t>
      </w:r>
      <w:r w:rsidR="00110DD3" w:rsidRPr="004618D5">
        <w:rPr>
          <w:lang w:val="fr-FR"/>
        </w:rPr>
        <w:t xml:space="preserve"> </w:t>
      </w:r>
      <w:r w:rsidRPr="004618D5">
        <w:rPr>
          <w:lang w:val="fr-FR"/>
        </w:rPr>
        <w:t>de quitter l</w:t>
      </w:r>
      <w:r w:rsidR="004618D5" w:rsidRPr="004618D5">
        <w:rPr>
          <w:lang w:val="fr-FR"/>
        </w:rPr>
        <w:t>’</w:t>
      </w:r>
      <w:r w:rsidRPr="004618D5">
        <w:rPr>
          <w:lang w:val="fr-FR"/>
        </w:rPr>
        <w:t xml:space="preserve">Italie (paragraphe </w:t>
      </w:r>
      <w:r w:rsidR="003C71B5" w:rsidRPr="004618D5">
        <w:rPr>
          <w:lang w:val="fr-FR"/>
        </w:rPr>
        <w:t>48</w:t>
      </w:r>
      <w:r w:rsidRPr="004618D5">
        <w:rPr>
          <w:lang w:val="fr-FR"/>
        </w:rPr>
        <w:t xml:space="preserve"> ci-dessus). Cette circonstance a donc empêché </w:t>
      </w:r>
      <w:r w:rsidR="004C2489" w:rsidRPr="004618D5">
        <w:rPr>
          <w:lang w:val="fr-FR"/>
        </w:rPr>
        <w:t xml:space="preserve">les </w:t>
      </w:r>
      <w:r w:rsidRPr="004618D5">
        <w:rPr>
          <w:lang w:val="fr-FR"/>
        </w:rPr>
        <w:t>intéressés de continuer à vivre ensemble dans ce pays</w:t>
      </w:r>
      <w:r w:rsidR="00897AFE" w:rsidRPr="004618D5">
        <w:rPr>
          <w:lang w:val="fr-FR"/>
        </w:rPr>
        <w:t>.</w:t>
      </w:r>
      <w:r w:rsidR="004C2489" w:rsidRPr="004618D5">
        <w:rPr>
          <w:lang w:val="fr-FR"/>
        </w:rPr>
        <w:t xml:space="preserve"> </w:t>
      </w:r>
      <w:r w:rsidR="00897AFE" w:rsidRPr="004618D5">
        <w:rPr>
          <w:lang w:val="fr-FR"/>
        </w:rPr>
        <w:t>Elle</w:t>
      </w:r>
      <w:r w:rsidR="004C2489" w:rsidRPr="004618D5">
        <w:rPr>
          <w:lang w:val="fr-FR"/>
        </w:rPr>
        <w:t xml:space="preserve"> a ainsi constitué</w:t>
      </w:r>
      <w:r w:rsidRPr="004618D5">
        <w:rPr>
          <w:lang w:val="fr-FR"/>
        </w:rPr>
        <w:t xml:space="preserve"> une ingérence dans </w:t>
      </w:r>
      <w:r w:rsidR="00A23BD2" w:rsidRPr="004618D5">
        <w:rPr>
          <w:lang w:val="fr-FR"/>
        </w:rPr>
        <w:t>l</w:t>
      </w:r>
      <w:r w:rsidR="004618D5" w:rsidRPr="004618D5">
        <w:rPr>
          <w:lang w:val="fr-FR"/>
        </w:rPr>
        <w:t>’</w:t>
      </w:r>
      <w:r w:rsidR="00A23BD2" w:rsidRPr="004618D5">
        <w:rPr>
          <w:lang w:val="fr-FR"/>
        </w:rPr>
        <w:t>un des éléments essentiels de leur « vie familiale » telle qu</w:t>
      </w:r>
      <w:r w:rsidR="004618D5" w:rsidRPr="004618D5">
        <w:rPr>
          <w:lang w:val="fr-FR"/>
        </w:rPr>
        <w:t>’</w:t>
      </w:r>
      <w:r w:rsidR="00A23BD2" w:rsidRPr="004618D5">
        <w:rPr>
          <w:lang w:val="fr-FR"/>
        </w:rPr>
        <w:t>ils avaient souhaité l</w:t>
      </w:r>
      <w:r w:rsidR="004618D5" w:rsidRPr="004618D5">
        <w:rPr>
          <w:lang w:val="fr-FR"/>
        </w:rPr>
        <w:t>’</w:t>
      </w:r>
      <w:r w:rsidR="00A23BD2" w:rsidRPr="004618D5">
        <w:rPr>
          <w:lang w:val="fr-FR"/>
        </w:rPr>
        <w:t xml:space="preserve">organiser et donc dans </w:t>
      </w:r>
      <w:r w:rsidRPr="004618D5">
        <w:rPr>
          <w:lang w:val="fr-FR"/>
        </w:rPr>
        <w:t>leur droit au respect de celle-ci tel que garanti par l</w:t>
      </w:r>
      <w:r w:rsidR="004618D5" w:rsidRPr="004618D5">
        <w:rPr>
          <w:lang w:val="fr-FR"/>
        </w:rPr>
        <w:t>’</w:t>
      </w:r>
      <w:r w:rsidRPr="004618D5">
        <w:rPr>
          <w:lang w:val="fr-FR"/>
        </w:rPr>
        <w:t>article 8 de la Convention.</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60</w:t>
      </w:r>
      <w:r w:rsidRPr="004618D5">
        <w:rPr>
          <w:lang w:val="fr-FR"/>
        </w:rPr>
        <w:fldChar w:fldCharType="end"/>
      </w:r>
      <w:r w:rsidRPr="004618D5">
        <w:rPr>
          <w:lang w:val="fr-FR"/>
        </w:rPr>
        <w:t>.  </w:t>
      </w:r>
      <w:r w:rsidR="00966459" w:rsidRPr="004618D5">
        <w:rPr>
          <w:lang w:val="fr-FR"/>
        </w:rPr>
        <w:t>Pour ce qui est de l</w:t>
      </w:r>
      <w:r w:rsidR="004618D5" w:rsidRPr="004618D5">
        <w:rPr>
          <w:lang w:val="fr-FR"/>
        </w:rPr>
        <w:t>’</w:t>
      </w:r>
      <w:r w:rsidR="00966459" w:rsidRPr="004618D5">
        <w:rPr>
          <w:lang w:val="fr-FR"/>
        </w:rPr>
        <w:t>argument du</w:t>
      </w:r>
      <w:r w:rsidRPr="004618D5">
        <w:rPr>
          <w:lang w:val="fr-FR"/>
        </w:rPr>
        <w:t xml:space="preserve"> Gouvernement </w:t>
      </w:r>
      <w:r w:rsidR="00966459" w:rsidRPr="004618D5">
        <w:rPr>
          <w:lang w:val="fr-FR"/>
        </w:rPr>
        <w:t>selon lequel</w:t>
      </w:r>
      <w:r w:rsidRPr="004618D5">
        <w:rPr>
          <w:lang w:val="fr-FR"/>
        </w:rPr>
        <w:t xml:space="preserve"> les articles</w:t>
      </w:r>
      <w:r w:rsidR="00B41523" w:rsidRPr="004618D5">
        <w:rPr>
          <w:lang w:val="fr-FR"/>
        </w:rPr>
        <w:t> </w:t>
      </w:r>
      <w:r w:rsidRPr="004618D5">
        <w:rPr>
          <w:lang w:val="fr-FR"/>
        </w:rPr>
        <w:t>8 et 14 de la Convention ne trouvent pas à s</w:t>
      </w:r>
      <w:r w:rsidR="004618D5" w:rsidRPr="004618D5">
        <w:rPr>
          <w:lang w:val="fr-FR"/>
        </w:rPr>
        <w:t>’</w:t>
      </w:r>
      <w:r w:rsidRPr="004618D5">
        <w:rPr>
          <w:lang w:val="fr-FR"/>
        </w:rPr>
        <w:t xml:space="preserve">appliquer </w:t>
      </w:r>
      <w:r w:rsidR="00110DD3" w:rsidRPr="004618D5">
        <w:rPr>
          <w:lang w:val="fr-FR"/>
        </w:rPr>
        <w:t>en raison</w:t>
      </w:r>
      <w:r w:rsidRPr="004618D5">
        <w:rPr>
          <w:lang w:val="fr-FR"/>
        </w:rPr>
        <w:t xml:space="preserve"> de l</w:t>
      </w:r>
      <w:r w:rsidR="004618D5" w:rsidRPr="004618D5">
        <w:rPr>
          <w:lang w:val="fr-FR"/>
        </w:rPr>
        <w:t>’</w:t>
      </w:r>
      <w:r w:rsidRPr="004618D5">
        <w:rPr>
          <w:lang w:val="fr-FR"/>
        </w:rPr>
        <w:t>absence, tant en droit italien qu</w:t>
      </w:r>
      <w:r w:rsidR="004618D5" w:rsidRPr="004618D5">
        <w:rPr>
          <w:lang w:val="fr-FR"/>
        </w:rPr>
        <w:t>’</w:t>
      </w:r>
      <w:r w:rsidRPr="004618D5">
        <w:rPr>
          <w:lang w:val="fr-FR"/>
        </w:rPr>
        <w:t>en droit de l</w:t>
      </w:r>
      <w:r w:rsidR="004618D5" w:rsidRPr="004618D5">
        <w:rPr>
          <w:lang w:val="fr-FR"/>
        </w:rPr>
        <w:t>’</w:t>
      </w:r>
      <w:r w:rsidRPr="004618D5">
        <w:rPr>
          <w:lang w:val="fr-FR"/>
        </w:rPr>
        <w:t xml:space="preserve">UE, des conditions légales </w:t>
      </w:r>
      <w:r w:rsidR="00110DD3" w:rsidRPr="004618D5">
        <w:rPr>
          <w:lang w:val="fr-FR"/>
        </w:rPr>
        <w:t>requises pour la reconnaissance</w:t>
      </w:r>
      <w:r w:rsidRPr="004618D5">
        <w:rPr>
          <w:lang w:val="fr-FR"/>
        </w:rPr>
        <w:t xml:space="preserve"> au deuxième requérant </w:t>
      </w:r>
      <w:r w:rsidR="00110DD3" w:rsidRPr="004618D5">
        <w:rPr>
          <w:lang w:val="fr-FR"/>
        </w:rPr>
        <w:t>du</w:t>
      </w:r>
      <w:r w:rsidRPr="004618D5">
        <w:rPr>
          <w:lang w:val="fr-FR"/>
        </w:rPr>
        <w:t xml:space="preserve"> statut de « membre de la famille » (paragraphes </w:t>
      </w:r>
      <w:r w:rsidR="003C71B5" w:rsidRPr="004618D5">
        <w:rPr>
          <w:lang w:val="fr-FR"/>
        </w:rPr>
        <w:t>44</w:t>
      </w:r>
      <w:r w:rsidR="00E251A2" w:rsidRPr="004618D5">
        <w:rPr>
          <w:lang w:val="fr-FR"/>
        </w:rPr>
        <w:t xml:space="preserve"> à </w:t>
      </w:r>
      <w:r w:rsidR="003C71B5" w:rsidRPr="004618D5">
        <w:rPr>
          <w:rFonts w:ascii="Times New Roman" w:hAnsi="Times New Roman" w:cs="Times New Roman"/>
          <w:szCs w:val="24"/>
          <w:lang w:val="fr-FR" w:eastAsia="en-GB"/>
        </w:rPr>
        <w:t>47</w:t>
      </w:r>
      <w:r w:rsidRPr="004618D5">
        <w:rPr>
          <w:lang w:val="fr-FR"/>
        </w:rPr>
        <w:t xml:space="preserve"> ci-dessus), la Cour observe que </w:t>
      </w:r>
      <w:r w:rsidR="007B1D8F" w:rsidRPr="004618D5">
        <w:rPr>
          <w:lang w:val="fr-FR"/>
        </w:rPr>
        <w:t>l</w:t>
      </w:r>
      <w:r w:rsidR="004618D5" w:rsidRPr="004618D5">
        <w:rPr>
          <w:lang w:val="fr-FR"/>
        </w:rPr>
        <w:t>’</w:t>
      </w:r>
      <w:r w:rsidR="007B1D8F" w:rsidRPr="004618D5">
        <w:rPr>
          <w:lang w:val="fr-FR"/>
        </w:rPr>
        <w:t>existence</w:t>
      </w:r>
      <w:r w:rsidRPr="004618D5">
        <w:rPr>
          <w:lang w:val="fr-FR"/>
        </w:rPr>
        <w:t xml:space="preserve"> éventuelle d</w:t>
      </w:r>
      <w:r w:rsidR="004618D5" w:rsidRPr="004618D5">
        <w:rPr>
          <w:lang w:val="fr-FR"/>
        </w:rPr>
        <w:t>’</w:t>
      </w:r>
      <w:r w:rsidRPr="004618D5">
        <w:rPr>
          <w:lang w:val="fr-FR"/>
        </w:rPr>
        <w:t>une base légale</w:t>
      </w:r>
      <w:r w:rsidR="00966459" w:rsidRPr="004618D5">
        <w:rPr>
          <w:lang w:val="fr-FR"/>
        </w:rPr>
        <w:t xml:space="preserve"> justifiant le refus d</w:t>
      </w:r>
      <w:r w:rsidR="004618D5" w:rsidRPr="004618D5">
        <w:rPr>
          <w:lang w:val="fr-FR"/>
        </w:rPr>
        <w:t>’</w:t>
      </w:r>
      <w:r w:rsidR="00966459" w:rsidRPr="004618D5">
        <w:rPr>
          <w:lang w:val="fr-FR"/>
        </w:rPr>
        <w:t>octroyer le permis de séjour</w:t>
      </w:r>
      <w:r w:rsidRPr="004618D5">
        <w:rPr>
          <w:lang w:val="fr-FR"/>
        </w:rPr>
        <w:t xml:space="preserve"> n</w:t>
      </w:r>
      <w:r w:rsidR="004618D5" w:rsidRPr="004618D5">
        <w:rPr>
          <w:lang w:val="fr-FR"/>
        </w:rPr>
        <w:t>’</w:t>
      </w:r>
      <w:r w:rsidRPr="004618D5">
        <w:rPr>
          <w:lang w:val="fr-FR"/>
        </w:rPr>
        <w:t xml:space="preserve">implique pas </w:t>
      </w:r>
      <w:r w:rsidR="007B1D8F" w:rsidRPr="004618D5">
        <w:rPr>
          <w:lang w:val="fr-FR"/>
        </w:rPr>
        <w:t>forcément qu</w:t>
      </w:r>
      <w:r w:rsidR="004618D5" w:rsidRPr="004618D5">
        <w:rPr>
          <w:lang w:val="fr-FR"/>
        </w:rPr>
        <w:t>’</w:t>
      </w:r>
      <w:r w:rsidR="007B1D8F" w:rsidRPr="004618D5">
        <w:rPr>
          <w:lang w:val="fr-FR"/>
        </w:rPr>
        <w:t>il n</w:t>
      </w:r>
      <w:r w:rsidR="004618D5" w:rsidRPr="004618D5">
        <w:rPr>
          <w:lang w:val="fr-FR"/>
        </w:rPr>
        <w:t>’</w:t>
      </w:r>
      <w:r w:rsidR="007B1D8F" w:rsidRPr="004618D5">
        <w:rPr>
          <w:lang w:val="fr-FR"/>
        </w:rPr>
        <w:t>y a pas eu</w:t>
      </w:r>
      <w:r w:rsidRPr="004618D5">
        <w:rPr>
          <w:lang w:val="fr-FR"/>
        </w:rPr>
        <w:t xml:space="preserve"> ingérence</w:t>
      </w:r>
      <w:r w:rsidR="00966459" w:rsidRPr="004618D5">
        <w:rPr>
          <w:lang w:val="fr-FR"/>
        </w:rPr>
        <w:t xml:space="preserve"> dans le droit au respect de la vie privée et familiale des intéressés. Cette base légale</w:t>
      </w:r>
      <w:r w:rsidRPr="004618D5">
        <w:rPr>
          <w:lang w:val="fr-FR"/>
        </w:rPr>
        <w:t xml:space="preserve"> ne permet pas non plus à l</w:t>
      </w:r>
      <w:r w:rsidR="004618D5" w:rsidRPr="004618D5">
        <w:rPr>
          <w:lang w:val="fr-FR"/>
        </w:rPr>
        <w:t>’</w:t>
      </w:r>
      <w:r w:rsidRPr="004618D5">
        <w:rPr>
          <w:lang w:val="fr-FR"/>
        </w:rPr>
        <w:t xml:space="preserve">État défendeur de décliner toute responsabilité au regard de la Convention (voir, par exemple et </w:t>
      </w:r>
      <w:r w:rsidRPr="004618D5">
        <w:rPr>
          <w:i/>
          <w:lang w:val="fr-FR"/>
        </w:rPr>
        <w:t>mutatis mutandis</w:t>
      </w:r>
      <w:r w:rsidRPr="004618D5">
        <w:rPr>
          <w:lang w:val="fr-FR"/>
        </w:rPr>
        <w:t xml:space="preserve">, </w:t>
      </w:r>
      <w:r w:rsidRPr="004618D5">
        <w:rPr>
          <w:i/>
          <w:lang w:val="fr-FR"/>
        </w:rPr>
        <w:t xml:space="preserve">Thlimmenos c. Grèce </w:t>
      </w:r>
      <w:r w:rsidRPr="004618D5">
        <w:rPr>
          <w:lang w:val="fr-FR"/>
        </w:rPr>
        <w:t>[GC], n</w:t>
      </w:r>
      <w:r w:rsidR="00B55B33" w:rsidRPr="004618D5">
        <w:rPr>
          <w:vertAlign w:val="superscript"/>
          <w:lang w:val="fr-FR"/>
        </w:rPr>
        <w:t>o</w:t>
      </w:r>
      <w:r w:rsidRPr="004618D5">
        <w:rPr>
          <w:lang w:val="fr-FR"/>
        </w:rPr>
        <w:t xml:space="preserve"> 34369/97, § 48, CEDH 2000-IV).</w:t>
      </w:r>
    </w:p>
    <w:p w:rsidR="004618D5"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61</w:t>
      </w:r>
      <w:r w:rsidRPr="004618D5">
        <w:rPr>
          <w:lang w:val="fr-FR"/>
        </w:rPr>
        <w:fldChar w:fldCharType="end"/>
      </w:r>
      <w:r w:rsidRPr="004618D5">
        <w:rPr>
          <w:lang w:val="fr-FR"/>
        </w:rPr>
        <w:t>.  Quant à la durée de l</w:t>
      </w:r>
      <w:r w:rsidR="004618D5" w:rsidRPr="004618D5">
        <w:rPr>
          <w:lang w:val="fr-FR"/>
        </w:rPr>
        <w:t>’</w:t>
      </w:r>
      <w:r w:rsidRPr="004618D5">
        <w:rPr>
          <w:lang w:val="fr-FR"/>
        </w:rPr>
        <w:t>ingérence litigieuse, la Cour relève qu</w:t>
      </w:r>
      <w:r w:rsidR="004618D5" w:rsidRPr="004618D5">
        <w:rPr>
          <w:lang w:val="fr-FR"/>
        </w:rPr>
        <w:t>’</w:t>
      </w:r>
      <w:r w:rsidRPr="004618D5">
        <w:rPr>
          <w:lang w:val="fr-FR"/>
        </w:rPr>
        <w:t xml:space="preserve">elle a débuté le 18 octobre 2004, date du premier rejet de la demande de permis de séjour (paragraphe </w:t>
      </w:r>
      <w:r w:rsidR="003C71B5" w:rsidRPr="004618D5">
        <w:rPr>
          <w:lang w:val="fr-FR"/>
        </w:rPr>
        <w:t>10</w:t>
      </w:r>
      <w:r w:rsidRPr="004618D5">
        <w:rPr>
          <w:b/>
          <w:color w:val="FF0000"/>
          <w:lang w:val="fr-FR"/>
        </w:rPr>
        <w:t xml:space="preserve"> </w:t>
      </w:r>
      <w:r w:rsidRPr="004618D5">
        <w:rPr>
          <w:lang w:val="fr-FR"/>
        </w:rPr>
        <w:t xml:space="preserve">ci-dessus), et </w:t>
      </w:r>
      <w:r w:rsidR="007B1D8F" w:rsidRPr="004618D5">
        <w:rPr>
          <w:lang w:val="fr-FR"/>
        </w:rPr>
        <w:t>qu</w:t>
      </w:r>
      <w:r w:rsidR="004618D5" w:rsidRPr="004618D5">
        <w:rPr>
          <w:lang w:val="fr-FR"/>
        </w:rPr>
        <w:t>’</w:t>
      </w:r>
      <w:r w:rsidR="007B1D8F" w:rsidRPr="004618D5">
        <w:rPr>
          <w:lang w:val="fr-FR"/>
        </w:rPr>
        <w:t xml:space="preserve">elle </w:t>
      </w:r>
      <w:r w:rsidRPr="004618D5">
        <w:rPr>
          <w:lang w:val="fr-FR"/>
        </w:rPr>
        <w:t>a pris fin au plus tard en juillet 2009, lorsque, à la suite du dépôt au greffe, le 17 mars 2009, de l</w:t>
      </w:r>
      <w:r w:rsidR="004618D5" w:rsidRPr="004618D5">
        <w:rPr>
          <w:lang w:val="fr-FR"/>
        </w:rPr>
        <w:t>’</w:t>
      </w:r>
      <w:r w:rsidRPr="004618D5">
        <w:rPr>
          <w:lang w:val="fr-FR"/>
        </w:rPr>
        <w:t>arrêt définitif de la Cour de cassation déboutant les requérants</w:t>
      </w:r>
      <w:r w:rsidR="00110DD3" w:rsidRPr="004618D5">
        <w:rPr>
          <w:lang w:val="fr-FR"/>
        </w:rPr>
        <w:t xml:space="preserve"> de leur pourvoi</w:t>
      </w:r>
      <w:r w:rsidRPr="004618D5">
        <w:rPr>
          <w:lang w:val="fr-FR"/>
        </w:rPr>
        <w:t>, ces derniers ont décidé de quitter l</w:t>
      </w:r>
      <w:r w:rsidR="004618D5" w:rsidRPr="004618D5">
        <w:rPr>
          <w:lang w:val="fr-FR"/>
        </w:rPr>
        <w:t>’</w:t>
      </w:r>
      <w:r w:rsidRPr="004618D5">
        <w:rPr>
          <w:lang w:val="fr-FR"/>
        </w:rPr>
        <w:t>Italie et de s</w:t>
      </w:r>
      <w:r w:rsidR="004618D5" w:rsidRPr="004618D5">
        <w:rPr>
          <w:lang w:val="fr-FR"/>
        </w:rPr>
        <w:t>’</w:t>
      </w:r>
      <w:r w:rsidRPr="004618D5">
        <w:rPr>
          <w:lang w:val="fr-FR"/>
        </w:rPr>
        <w:t>installer aux Pays-Bas (paragraphe</w:t>
      </w:r>
      <w:r w:rsidR="00421C49" w:rsidRPr="004618D5">
        <w:rPr>
          <w:lang w:val="fr-FR"/>
        </w:rPr>
        <w:t> </w:t>
      </w:r>
      <w:r w:rsidR="003C71B5" w:rsidRPr="004618D5">
        <w:rPr>
          <w:lang w:val="fr-FR"/>
        </w:rPr>
        <w:t>24</w:t>
      </w:r>
      <w:r w:rsidRPr="004618D5">
        <w:rPr>
          <w:b/>
          <w:lang w:val="fr-FR"/>
        </w:rPr>
        <w:t xml:space="preserve"> </w:t>
      </w:r>
      <w:r w:rsidRPr="004618D5">
        <w:rPr>
          <w:lang w:val="fr-FR"/>
        </w:rPr>
        <w:t xml:space="preserve">ci-dessus). Cette ingérence </w:t>
      </w:r>
      <w:r w:rsidR="009B345B" w:rsidRPr="004618D5">
        <w:rPr>
          <w:lang w:val="fr-FR"/>
        </w:rPr>
        <w:t>a donc duré</w:t>
      </w:r>
      <w:r w:rsidRPr="004618D5">
        <w:rPr>
          <w:lang w:val="fr-FR"/>
        </w:rPr>
        <w:t xml:space="preserve"> quatre ans et neuf mois environ.</w:t>
      </w:r>
    </w:p>
    <w:p w:rsidR="00F21629" w:rsidRPr="004618D5" w:rsidRDefault="00F2162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62</w:t>
      </w:r>
      <w:r w:rsidRPr="004618D5">
        <w:rPr>
          <w:lang w:val="fr-FR"/>
        </w:rPr>
        <w:fldChar w:fldCharType="end"/>
      </w:r>
      <w:r w:rsidRPr="004618D5">
        <w:rPr>
          <w:lang w:val="fr-FR"/>
        </w:rPr>
        <w:t>.  La Cour ayant ainsi délimité la période à prendre en considération en l</w:t>
      </w:r>
      <w:r w:rsidR="004618D5" w:rsidRPr="004618D5">
        <w:rPr>
          <w:lang w:val="fr-FR"/>
        </w:rPr>
        <w:t>’</w:t>
      </w:r>
      <w:r w:rsidRPr="004618D5">
        <w:rPr>
          <w:lang w:val="fr-FR"/>
        </w:rPr>
        <w:t>espèce, toute spéculation visant à établir si des circonstances survenues après juillet 2009 auraient ouvert au deuxième requérant la possibilité d</w:t>
      </w:r>
      <w:r w:rsidR="004618D5" w:rsidRPr="004618D5">
        <w:rPr>
          <w:lang w:val="fr-FR"/>
        </w:rPr>
        <w:t>’</w:t>
      </w:r>
      <w:r w:rsidRPr="004618D5">
        <w:rPr>
          <w:lang w:val="fr-FR"/>
        </w:rPr>
        <w:t xml:space="preserve">obtenir le permis de séjour litigieux </w:t>
      </w:r>
      <w:r w:rsidR="007B1D8F" w:rsidRPr="004618D5">
        <w:rPr>
          <w:lang w:val="fr-FR"/>
        </w:rPr>
        <w:t xml:space="preserve">est ainsi </w:t>
      </w:r>
      <w:r w:rsidRPr="004618D5">
        <w:rPr>
          <w:lang w:val="fr-FR"/>
        </w:rPr>
        <w:t>inutile. La Cour n</w:t>
      </w:r>
      <w:r w:rsidR="004618D5" w:rsidRPr="004618D5">
        <w:rPr>
          <w:lang w:val="fr-FR"/>
        </w:rPr>
        <w:t>’</w:t>
      </w:r>
      <w:r w:rsidRPr="004618D5">
        <w:rPr>
          <w:lang w:val="fr-FR"/>
        </w:rPr>
        <w:t xml:space="preserve">estime donc pas nécessaire de se pencher sur la question de savoir si, en </w:t>
      </w:r>
      <w:r w:rsidR="00E251A2" w:rsidRPr="004618D5">
        <w:rPr>
          <w:lang w:val="fr-FR"/>
        </w:rPr>
        <w:t xml:space="preserve">vertu </w:t>
      </w:r>
      <w:r w:rsidRPr="004618D5">
        <w:rPr>
          <w:lang w:val="fr-FR"/>
        </w:rPr>
        <w:t xml:space="preserve">du mariage contracté à Amsterdam le 8 mai 2010 (paragraphe </w:t>
      </w:r>
      <w:r w:rsidR="003C71B5" w:rsidRPr="004618D5">
        <w:rPr>
          <w:lang w:val="fr-FR"/>
        </w:rPr>
        <w:t>25</w:t>
      </w:r>
      <w:r w:rsidR="00E251A2" w:rsidRPr="004618D5">
        <w:rPr>
          <w:lang w:val="fr-FR"/>
        </w:rPr>
        <w:t xml:space="preserve"> </w:t>
      </w:r>
      <w:r w:rsidRPr="004618D5">
        <w:rPr>
          <w:lang w:val="fr-FR"/>
        </w:rPr>
        <w:t xml:space="preserve">ci-dessus), le deuxième requérant pourrait bénéficier de la jurisprudence </w:t>
      </w:r>
      <w:r w:rsidR="007B1D8F" w:rsidRPr="004618D5">
        <w:rPr>
          <w:lang w:val="fr-FR"/>
        </w:rPr>
        <w:t>italienne</w:t>
      </w:r>
      <w:r w:rsidR="00E251A2" w:rsidRPr="004618D5">
        <w:rPr>
          <w:lang w:val="fr-FR"/>
        </w:rPr>
        <w:t>,</w:t>
      </w:r>
      <w:r w:rsidRPr="004618D5">
        <w:rPr>
          <w:lang w:val="fr-FR"/>
        </w:rPr>
        <w:t xml:space="preserve"> citée au paragraphe </w:t>
      </w:r>
      <w:r w:rsidR="003C71B5" w:rsidRPr="004618D5">
        <w:rPr>
          <w:lang w:val="fr-FR"/>
        </w:rPr>
        <w:t>52</w:t>
      </w:r>
      <w:r w:rsidRPr="004618D5">
        <w:rPr>
          <w:lang w:val="fr-FR"/>
        </w:rPr>
        <w:t xml:space="preserve"> ci-dessus, tendant à reconnaître le droit au permis de séjour </w:t>
      </w:r>
      <w:r w:rsidR="00E251A2" w:rsidRPr="004618D5">
        <w:rPr>
          <w:lang w:val="fr-FR"/>
        </w:rPr>
        <w:t>pour raison familiale</w:t>
      </w:r>
      <w:r w:rsidRPr="004618D5">
        <w:rPr>
          <w:lang w:val="fr-FR"/>
        </w:rPr>
        <w:t xml:space="preserve"> à des ressortissants extracommunautaires formant des couples homosexuels avec des citoyens italiens sur la base de mariages conclus dans des pays de l</w:t>
      </w:r>
      <w:r w:rsidR="004618D5" w:rsidRPr="004618D5">
        <w:rPr>
          <w:lang w:val="fr-FR"/>
        </w:rPr>
        <w:t>’</w:t>
      </w:r>
      <w:r w:rsidRPr="004618D5">
        <w:rPr>
          <w:lang w:val="fr-FR"/>
        </w:rPr>
        <w:t>UE autres que l</w:t>
      </w:r>
      <w:r w:rsidR="004618D5" w:rsidRPr="004618D5">
        <w:rPr>
          <w:lang w:val="fr-FR"/>
        </w:rPr>
        <w:t>’</w:t>
      </w:r>
      <w:r w:rsidRPr="004618D5">
        <w:rPr>
          <w:lang w:val="fr-FR"/>
        </w:rPr>
        <w:t>Italie, ou encore si ce même droit pourrait surgir de la transposition en droit italien, par la loi n</w:t>
      </w:r>
      <w:r w:rsidR="00B55B33" w:rsidRPr="004618D5">
        <w:rPr>
          <w:vertAlign w:val="superscript"/>
          <w:lang w:val="fr-FR"/>
        </w:rPr>
        <w:t>o</w:t>
      </w:r>
      <w:r w:rsidR="004E0766" w:rsidRPr="004618D5">
        <w:rPr>
          <w:vertAlign w:val="superscript"/>
          <w:lang w:val="fr-FR"/>
        </w:rPr>
        <w:t> </w:t>
      </w:r>
      <w:r w:rsidRPr="004618D5">
        <w:rPr>
          <w:lang w:val="fr-FR"/>
        </w:rPr>
        <w:t>97 du 6</w:t>
      </w:r>
      <w:r w:rsidR="00816BE4" w:rsidRPr="004618D5">
        <w:rPr>
          <w:lang w:val="fr-FR"/>
        </w:rPr>
        <w:t> </w:t>
      </w:r>
      <w:r w:rsidRPr="004618D5">
        <w:rPr>
          <w:lang w:val="fr-FR"/>
        </w:rPr>
        <w:t>août 2013, de l</w:t>
      </w:r>
      <w:r w:rsidR="004618D5" w:rsidRPr="004618D5">
        <w:rPr>
          <w:lang w:val="fr-FR"/>
        </w:rPr>
        <w:t>’</w:t>
      </w:r>
      <w:r w:rsidRPr="004618D5">
        <w:rPr>
          <w:lang w:val="fr-FR"/>
        </w:rPr>
        <w:t xml:space="preserve">article 3 § 1 de la directive européenne </w:t>
      </w:r>
      <w:r w:rsidR="009B345B" w:rsidRPr="004618D5">
        <w:rPr>
          <w:lang w:val="fr-FR"/>
        </w:rPr>
        <w:t>n</w:t>
      </w:r>
      <w:r w:rsidR="00B55B33" w:rsidRPr="004618D5">
        <w:rPr>
          <w:vertAlign w:val="superscript"/>
          <w:lang w:val="fr-FR"/>
        </w:rPr>
        <w:t>o</w:t>
      </w:r>
      <w:r w:rsidR="009B345B" w:rsidRPr="004618D5">
        <w:rPr>
          <w:lang w:val="fr-FR"/>
        </w:rPr>
        <w:t xml:space="preserve"> </w:t>
      </w:r>
      <w:r w:rsidRPr="004618D5">
        <w:rPr>
          <w:lang w:val="fr-FR"/>
        </w:rPr>
        <w:t>2004/38/CE prévoyant que l</w:t>
      </w:r>
      <w:r w:rsidR="004618D5" w:rsidRPr="004618D5">
        <w:rPr>
          <w:lang w:val="fr-FR"/>
        </w:rPr>
        <w:t>’</w:t>
      </w:r>
      <w:r w:rsidRPr="004618D5">
        <w:rPr>
          <w:lang w:val="fr-FR"/>
        </w:rPr>
        <w:t>État d</w:t>
      </w:r>
      <w:r w:rsidR="004618D5" w:rsidRPr="004618D5">
        <w:rPr>
          <w:lang w:val="fr-FR"/>
        </w:rPr>
        <w:t>’</w:t>
      </w:r>
      <w:r w:rsidRPr="004618D5">
        <w:rPr>
          <w:lang w:val="fr-FR"/>
        </w:rPr>
        <w:t xml:space="preserve">accueil doit favoriser le séjour, entre autres, du « partenaire avec lequel le citoyen de </w:t>
      </w:r>
      <w:r w:rsidR="00455767" w:rsidRPr="004618D5">
        <w:rPr>
          <w:lang w:val="fr-FR"/>
        </w:rPr>
        <w:t>l</w:t>
      </w:r>
      <w:r w:rsidR="004618D5" w:rsidRPr="004618D5">
        <w:rPr>
          <w:lang w:val="fr-FR"/>
        </w:rPr>
        <w:t>’</w:t>
      </w:r>
      <w:r w:rsidR="00455767" w:rsidRPr="004618D5">
        <w:rPr>
          <w:lang w:val="fr-FR"/>
        </w:rPr>
        <w:t>[UE]</w:t>
      </w:r>
      <w:r w:rsidRPr="004618D5">
        <w:rPr>
          <w:lang w:val="fr-FR"/>
        </w:rPr>
        <w:t xml:space="preserve"> a une relation durable, dûment attestée » (paragraphes </w:t>
      </w:r>
      <w:r w:rsidR="003C71B5" w:rsidRPr="004618D5">
        <w:rPr>
          <w:lang w:val="fr-FR" w:eastAsia="en-GB"/>
        </w:rPr>
        <w:t>29</w:t>
      </w:r>
      <w:r w:rsidRPr="004618D5">
        <w:rPr>
          <w:lang w:val="fr-FR"/>
        </w:rPr>
        <w:t>-</w:t>
      </w:r>
      <w:r w:rsidR="003C71B5" w:rsidRPr="004618D5">
        <w:rPr>
          <w:lang w:val="fr-FR" w:eastAsia="en-GB"/>
        </w:rPr>
        <w:t>30</w:t>
      </w:r>
      <w:r w:rsidRPr="004618D5">
        <w:rPr>
          <w:lang w:val="fr-FR"/>
        </w:rPr>
        <w:t xml:space="preserve">, </w:t>
      </w:r>
      <w:r w:rsidR="003C71B5" w:rsidRPr="004618D5">
        <w:rPr>
          <w:lang w:val="fr-FR"/>
        </w:rPr>
        <w:t>45</w:t>
      </w:r>
      <w:r w:rsidRPr="004618D5">
        <w:rPr>
          <w:lang w:val="fr-FR"/>
        </w:rPr>
        <w:t xml:space="preserve"> et </w:t>
      </w:r>
      <w:r w:rsidR="003C71B5" w:rsidRPr="004618D5">
        <w:rPr>
          <w:lang w:val="fr-FR"/>
        </w:rPr>
        <w:t>51</w:t>
      </w:r>
      <w:r w:rsidR="00F76D9C" w:rsidRPr="004618D5">
        <w:rPr>
          <w:lang w:val="fr-FR"/>
        </w:rPr>
        <w:t xml:space="preserve"> ci-dessus).</w:t>
      </w:r>
    </w:p>
    <w:p w:rsidR="00F21629" w:rsidRPr="004618D5" w:rsidRDefault="00AB5C51"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63</w:t>
      </w:r>
      <w:r w:rsidRPr="004618D5">
        <w:rPr>
          <w:lang w:val="fr-FR"/>
        </w:rPr>
        <w:fldChar w:fldCharType="end"/>
      </w:r>
      <w:r w:rsidRPr="004618D5">
        <w:rPr>
          <w:lang w:val="fr-FR"/>
        </w:rPr>
        <w:t>.  </w:t>
      </w:r>
      <w:r w:rsidR="00F21629" w:rsidRPr="004618D5">
        <w:rPr>
          <w:lang w:val="fr-FR"/>
        </w:rPr>
        <w:t>Il s</w:t>
      </w:r>
      <w:r w:rsidR="004618D5" w:rsidRPr="004618D5">
        <w:rPr>
          <w:lang w:val="fr-FR"/>
        </w:rPr>
        <w:t>’</w:t>
      </w:r>
      <w:r w:rsidR="00F21629" w:rsidRPr="004618D5">
        <w:rPr>
          <w:lang w:val="fr-FR"/>
        </w:rPr>
        <w:t>ensuit que les faits du litige</w:t>
      </w:r>
      <w:r w:rsidR="00E251A2" w:rsidRPr="004618D5">
        <w:rPr>
          <w:lang w:val="fr-FR"/>
        </w:rPr>
        <w:t>,</w:t>
      </w:r>
      <w:r w:rsidR="00F21629" w:rsidRPr="004618D5">
        <w:rPr>
          <w:lang w:val="fr-FR"/>
        </w:rPr>
        <w:t xml:space="preserve"> étant </w:t>
      </w:r>
      <w:r w:rsidR="009B345B" w:rsidRPr="004618D5">
        <w:rPr>
          <w:lang w:val="fr-FR"/>
        </w:rPr>
        <w:t xml:space="preserve">avérés </w:t>
      </w:r>
      <w:r w:rsidR="00F21629" w:rsidRPr="004618D5">
        <w:rPr>
          <w:lang w:val="fr-FR"/>
        </w:rPr>
        <w:t>entre le 18</w:t>
      </w:r>
      <w:r w:rsidR="00816BE4" w:rsidRPr="004618D5">
        <w:rPr>
          <w:lang w:val="fr-FR"/>
        </w:rPr>
        <w:t> </w:t>
      </w:r>
      <w:r w:rsidR="00F21629" w:rsidRPr="004618D5">
        <w:rPr>
          <w:lang w:val="fr-FR"/>
        </w:rPr>
        <w:t>octobre</w:t>
      </w:r>
      <w:r w:rsidR="00816BE4" w:rsidRPr="004618D5">
        <w:rPr>
          <w:lang w:val="fr-FR"/>
        </w:rPr>
        <w:t> </w:t>
      </w:r>
      <w:r w:rsidR="00F21629" w:rsidRPr="004618D5">
        <w:rPr>
          <w:lang w:val="fr-FR"/>
        </w:rPr>
        <w:t>2004 et juillet 2009, tombent sous l</w:t>
      </w:r>
      <w:r w:rsidR="004618D5" w:rsidRPr="004618D5">
        <w:rPr>
          <w:lang w:val="fr-FR"/>
        </w:rPr>
        <w:t>’</w:t>
      </w:r>
      <w:r w:rsidR="00F21629" w:rsidRPr="004618D5">
        <w:rPr>
          <w:lang w:val="fr-FR"/>
        </w:rPr>
        <w:t>empire de l</w:t>
      </w:r>
      <w:r w:rsidR="004618D5" w:rsidRPr="004618D5">
        <w:rPr>
          <w:lang w:val="fr-FR"/>
        </w:rPr>
        <w:t>’</w:t>
      </w:r>
      <w:r w:rsidR="00F21629" w:rsidRPr="004618D5">
        <w:rPr>
          <w:lang w:val="fr-FR"/>
        </w:rPr>
        <w:t xml:space="preserve">article 8 de la </w:t>
      </w:r>
      <w:r w:rsidR="00F21629" w:rsidRPr="004618D5">
        <w:rPr>
          <w:lang w:val="fr-FR"/>
        </w:rPr>
        <w:lastRenderedPageBreak/>
        <w:t>Convention et que l</w:t>
      </w:r>
      <w:r w:rsidR="004618D5" w:rsidRPr="004618D5">
        <w:rPr>
          <w:lang w:val="fr-FR"/>
        </w:rPr>
        <w:t>’</w:t>
      </w:r>
      <w:r w:rsidR="00F21629" w:rsidRPr="004618D5">
        <w:rPr>
          <w:lang w:val="fr-FR"/>
        </w:rPr>
        <w:t>article 14, combiné avec cette disposition, trouve à s</w:t>
      </w:r>
      <w:r w:rsidR="004618D5" w:rsidRPr="004618D5">
        <w:rPr>
          <w:lang w:val="fr-FR"/>
        </w:rPr>
        <w:t>’</w:t>
      </w:r>
      <w:r w:rsidR="00F21629" w:rsidRPr="004618D5">
        <w:rPr>
          <w:lang w:val="fr-FR"/>
        </w:rPr>
        <w:t>appliquer.</w:t>
      </w:r>
    </w:p>
    <w:p w:rsidR="00F21629" w:rsidRPr="004618D5" w:rsidRDefault="00C92B5D" w:rsidP="004618D5">
      <w:pPr>
        <w:pStyle w:val="ECHRHeading3"/>
        <w:rPr>
          <w:lang w:val="fr-FR"/>
        </w:rPr>
      </w:pPr>
      <w:r w:rsidRPr="004618D5">
        <w:rPr>
          <w:lang w:val="fr-FR"/>
        </w:rPr>
        <w:t>2.  Sur l</w:t>
      </w:r>
      <w:r w:rsidR="004618D5" w:rsidRPr="004618D5">
        <w:rPr>
          <w:lang w:val="fr-FR"/>
        </w:rPr>
        <w:t>’</w:t>
      </w:r>
      <w:r w:rsidRPr="004618D5">
        <w:rPr>
          <w:lang w:val="fr-FR"/>
        </w:rPr>
        <w:t>observation de l</w:t>
      </w:r>
      <w:r w:rsidR="004618D5" w:rsidRPr="004618D5">
        <w:rPr>
          <w:lang w:val="fr-FR"/>
        </w:rPr>
        <w:t>’</w:t>
      </w:r>
      <w:r w:rsidRPr="004618D5">
        <w:rPr>
          <w:lang w:val="fr-FR"/>
        </w:rPr>
        <w:t>article 14 combiné avec l</w:t>
      </w:r>
      <w:r w:rsidR="004618D5" w:rsidRPr="004618D5">
        <w:rPr>
          <w:lang w:val="fr-FR"/>
        </w:rPr>
        <w:t>’</w:t>
      </w:r>
      <w:r w:rsidRPr="004618D5">
        <w:rPr>
          <w:lang w:val="fr-FR"/>
        </w:rPr>
        <w:t>article 8</w:t>
      </w:r>
    </w:p>
    <w:p w:rsidR="00310392" w:rsidRPr="004618D5" w:rsidRDefault="00C92B5D" w:rsidP="004618D5">
      <w:pPr>
        <w:pStyle w:val="ECHRHeading4"/>
        <w:rPr>
          <w:lang w:val="fr-FR"/>
        </w:rPr>
      </w:pPr>
      <w:r w:rsidRPr="004618D5">
        <w:rPr>
          <w:lang w:val="fr-FR"/>
        </w:rPr>
        <w:t>a)</w:t>
      </w:r>
      <w:r w:rsidR="00310392" w:rsidRPr="004618D5">
        <w:rPr>
          <w:lang w:val="fr-FR"/>
        </w:rPr>
        <w:t>  Arguments des parties</w:t>
      </w:r>
    </w:p>
    <w:p w:rsidR="00C55984" w:rsidRPr="004618D5" w:rsidRDefault="00C92B5D" w:rsidP="004618D5">
      <w:pPr>
        <w:pStyle w:val="ECHRHeading5"/>
        <w:rPr>
          <w:lang w:val="fr-FR"/>
        </w:rPr>
      </w:pPr>
      <w:r w:rsidRPr="004618D5">
        <w:rPr>
          <w:lang w:val="fr-FR"/>
        </w:rPr>
        <w:t>i.</w:t>
      </w:r>
      <w:r w:rsidR="00C55984" w:rsidRPr="004618D5">
        <w:rPr>
          <w:lang w:val="fr-FR"/>
        </w:rPr>
        <w:t>  Le Gouvernement</w:t>
      </w:r>
    </w:p>
    <w:p w:rsidR="0075535B" w:rsidRPr="004618D5" w:rsidRDefault="0075535B" w:rsidP="004618D5">
      <w:pPr>
        <w:pStyle w:val="ECHRPara"/>
        <w:rPr>
          <w:rFonts w:ascii="Times New Roman" w:hAnsi="Times New Roman" w:cs="Times New Roman"/>
          <w:szCs w:val="24"/>
          <w:lang w:val="fr-FR" w:eastAsia="en-GB"/>
        </w:rPr>
      </w:pPr>
      <w:r w:rsidRPr="004618D5">
        <w:rPr>
          <w:rFonts w:ascii="Times New Roman" w:hAnsi="Times New Roman" w:cs="Times New Roman"/>
          <w:szCs w:val="24"/>
          <w:lang w:val="fr-FR" w:eastAsia="en-GB"/>
        </w:rPr>
        <w:fldChar w:fldCharType="begin"/>
      </w:r>
      <w:r w:rsidRPr="004618D5">
        <w:rPr>
          <w:rFonts w:ascii="Times New Roman" w:hAnsi="Times New Roman" w:cs="Times New Roman"/>
          <w:szCs w:val="24"/>
          <w:lang w:val="fr-FR" w:eastAsia="en-GB"/>
        </w:rPr>
        <w:instrText xml:space="preserve"> SEQ level0 \*arabic </w:instrText>
      </w:r>
      <w:r w:rsidRPr="004618D5">
        <w:rPr>
          <w:rFonts w:ascii="Times New Roman" w:hAnsi="Times New Roman" w:cs="Times New Roman"/>
          <w:szCs w:val="24"/>
          <w:lang w:val="fr-FR" w:eastAsia="en-GB"/>
        </w:rPr>
        <w:fldChar w:fldCharType="separate"/>
      </w:r>
      <w:r w:rsidR="004618D5" w:rsidRPr="004618D5">
        <w:rPr>
          <w:rFonts w:ascii="Times New Roman" w:hAnsi="Times New Roman" w:cs="Times New Roman"/>
          <w:noProof/>
          <w:szCs w:val="24"/>
          <w:lang w:val="fr-FR" w:eastAsia="en-GB"/>
        </w:rPr>
        <w:t>64</w:t>
      </w:r>
      <w:r w:rsidRPr="004618D5">
        <w:rPr>
          <w:rFonts w:ascii="Times New Roman" w:hAnsi="Times New Roman" w:cs="Times New Roman"/>
          <w:szCs w:val="24"/>
          <w:lang w:val="fr-FR" w:eastAsia="en-GB"/>
        </w:rPr>
        <w:fldChar w:fldCharType="end"/>
      </w:r>
      <w:r w:rsidRPr="004618D5">
        <w:rPr>
          <w:rFonts w:ascii="Times New Roman" w:hAnsi="Times New Roman" w:cs="Times New Roman"/>
          <w:szCs w:val="24"/>
          <w:lang w:val="fr-FR" w:eastAsia="en-GB"/>
        </w:rPr>
        <w:t xml:space="preserve">.  Le Gouvernement </w:t>
      </w:r>
      <w:r w:rsidR="0065487D" w:rsidRPr="004618D5">
        <w:rPr>
          <w:rFonts w:ascii="Times New Roman" w:hAnsi="Times New Roman" w:cs="Times New Roman"/>
          <w:szCs w:val="24"/>
          <w:lang w:val="fr-FR" w:eastAsia="en-GB"/>
        </w:rPr>
        <w:t>considère que les requérants n</w:t>
      </w:r>
      <w:r w:rsidR="004618D5" w:rsidRPr="004618D5">
        <w:rPr>
          <w:rFonts w:ascii="Times New Roman" w:hAnsi="Times New Roman" w:cs="Times New Roman"/>
          <w:szCs w:val="24"/>
          <w:lang w:val="fr-FR" w:eastAsia="en-GB"/>
        </w:rPr>
        <w:t>’</w:t>
      </w:r>
      <w:r w:rsidR="0065487D" w:rsidRPr="004618D5">
        <w:rPr>
          <w:rFonts w:ascii="Times New Roman" w:hAnsi="Times New Roman" w:cs="Times New Roman"/>
          <w:szCs w:val="24"/>
          <w:lang w:val="fr-FR" w:eastAsia="en-GB"/>
        </w:rPr>
        <w:t>ont pas fait l</w:t>
      </w:r>
      <w:r w:rsidR="004618D5" w:rsidRPr="004618D5">
        <w:rPr>
          <w:rFonts w:ascii="Times New Roman" w:hAnsi="Times New Roman" w:cs="Times New Roman"/>
          <w:szCs w:val="24"/>
          <w:lang w:val="fr-FR" w:eastAsia="en-GB"/>
        </w:rPr>
        <w:t>’</w:t>
      </w:r>
      <w:r w:rsidR="0065487D" w:rsidRPr="004618D5">
        <w:rPr>
          <w:rFonts w:ascii="Times New Roman" w:hAnsi="Times New Roman" w:cs="Times New Roman"/>
          <w:szCs w:val="24"/>
          <w:lang w:val="fr-FR" w:eastAsia="en-GB"/>
        </w:rPr>
        <w:t>objet, en Italie, d</w:t>
      </w:r>
      <w:r w:rsidR="004618D5" w:rsidRPr="004618D5">
        <w:rPr>
          <w:rFonts w:ascii="Times New Roman" w:hAnsi="Times New Roman" w:cs="Times New Roman"/>
          <w:szCs w:val="24"/>
          <w:lang w:val="fr-FR" w:eastAsia="en-GB"/>
        </w:rPr>
        <w:t>’</w:t>
      </w:r>
      <w:r w:rsidR="0065487D" w:rsidRPr="004618D5">
        <w:rPr>
          <w:rFonts w:ascii="Times New Roman" w:hAnsi="Times New Roman" w:cs="Times New Roman"/>
          <w:szCs w:val="24"/>
          <w:lang w:val="fr-FR" w:eastAsia="en-GB"/>
        </w:rPr>
        <w:t>une discrimination prohibée par la Convention. Il cite tout d</w:t>
      </w:r>
      <w:r w:rsidR="004618D5" w:rsidRPr="004618D5">
        <w:rPr>
          <w:rFonts w:ascii="Times New Roman" w:hAnsi="Times New Roman" w:cs="Times New Roman"/>
          <w:szCs w:val="24"/>
          <w:lang w:val="fr-FR" w:eastAsia="en-GB"/>
        </w:rPr>
        <w:t>’</w:t>
      </w:r>
      <w:r w:rsidR="0065487D" w:rsidRPr="004618D5">
        <w:rPr>
          <w:rFonts w:ascii="Times New Roman" w:hAnsi="Times New Roman" w:cs="Times New Roman"/>
          <w:szCs w:val="24"/>
          <w:lang w:val="fr-FR" w:eastAsia="en-GB"/>
        </w:rPr>
        <w:t>abord</w:t>
      </w:r>
      <w:r w:rsidRPr="004618D5">
        <w:rPr>
          <w:rFonts w:ascii="Times New Roman" w:hAnsi="Times New Roman" w:cs="Times New Roman"/>
          <w:szCs w:val="24"/>
          <w:lang w:val="fr-FR" w:eastAsia="en-GB"/>
        </w:rPr>
        <w:t xml:space="preserve"> l</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 xml:space="preserve">arrêt </w:t>
      </w:r>
      <w:r w:rsidR="00151E05" w:rsidRPr="004618D5">
        <w:rPr>
          <w:rFonts w:ascii="Times New Roman" w:hAnsi="Times New Roman" w:cs="Times New Roman"/>
          <w:szCs w:val="24"/>
          <w:lang w:val="fr-FR" w:eastAsia="en-GB"/>
        </w:rPr>
        <w:t>n</w:t>
      </w:r>
      <w:r w:rsidR="00B55B33" w:rsidRPr="004618D5">
        <w:rPr>
          <w:rFonts w:ascii="Times New Roman" w:hAnsi="Times New Roman" w:cs="Times New Roman"/>
          <w:szCs w:val="24"/>
          <w:vertAlign w:val="superscript"/>
          <w:lang w:val="fr-FR" w:eastAsia="en-GB"/>
        </w:rPr>
        <w:t>o</w:t>
      </w:r>
      <w:r w:rsidR="00151E05" w:rsidRPr="004618D5">
        <w:rPr>
          <w:rFonts w:ascii="Times New Roman" w:hAnsi="Times New Roman" w:cs="Times New Roman"/>
          <w:szCs w:val="24"/>
          <w:lang w:val="fr-FR" w:eastAsia="en-GB"/>
        </w:rPr>
        <w:t xml:space="preserve"> 1</w:t>
      </w:r>
      <w:r w:rsidRPr="004618D5">
        <w:rPr>
          <w:rFonts w:ascii="Times New Roman" w:hAnsi="Times New Roman" w:cs="Times New Roman"/>
          <w:szCs w:val="24"/>
          <w:lang w:val="fr-FR" w:eastAsia="en-GB"/>
        </w:rPr>
        <w:t>3</w:t>
      </w:r>
      <w:r w:rsidR="00151E05" w:rsidRPr="004618D5">
        <w:rPr>
          <w:rFonts w:ascii="Times New Roman" w:hAnsi="Times New Roman" w:cs="Times New Roman"/>
          <w:szCs w:val="24"/>
          <w:lang w:val="fr-FR" w:eastAsia="en-GB"/>
        </w:rPr>
        <w:t>8</w:t>
      </w:r>
      <w:r w:rsidRPr="004618D5">
        <w:rPr>
          <w:rFonts w:ascii="Times New Roman" w:hAnsi="Times New Roman" w:cs="Times New Roman"/>
          <w:szCs w:val="24"/>
          <w:lang w:val="fr-FR" w:eastAsia="en-GB"/>
        </w:rPr>
        <w:t xml:space="preserve"> du </w:t>
      </w:r>
      <w:r w:rsidR="00151E05" w:rsidRPr="004618D5">
        <w:rPr>
          <w:rFonts w:ascii="Times New Roman" w:hAnsi="Times New Roman" w:cs="Times New Roman"/>
          <w:szCs w:val="24"/>
          <w:lang w:val="fr-FR" w:eastAsia="en-GB"/>
        </w:rPr>
        <w:t>15 avril 2010</w:t>
      </w:r>
      <w:r w:rsidRPr="004618D5">
        <w:rPr>
          <w:rFonts w:ascii="Times New Roman" w:hAnsi="Times New Roman" w:cs="Times New Roman"/>
          <w:szCs w:val="24"/>
          <w:lang w:val="fr-FR" w:eastAsia="en-GB"/>
        </w:rPr>
        <w:t>, où la Cour</w:t>
      </w:r>
      <w:r w:rsidR="00151E05" w:rsidRPr="004618D5">
        <w:rPr>
          <w:rFonts w:ascii="Times New Roman" w:hAnsi="Times New Roman" w:cs="Times New Roman"/>
          <w:szCs w:val="24"/>
          <w:lang w:val="fr-FR" w:eastAsia="en-GB"/>
        </w:rPr>
        <w:t xml:space="preserve"> constitutionnelle a affirmé que l</w:t>
      </w:r>
      <w:r w:rsidR="004618D5" w:rsidRPr="004618D5">
        <w:rPr>
          <w:rFonts w:ascii="Times New Roman" w:hAnsi="Times New Roman" w:cs="Times New Roman"/>
          <w:szCs w:val="24"/>
          <w:lang w:val="fr-FR" w:eastAsia="en-GB"/>
        </w:rPr>
        <w:t>’</w:t>
      </w:r>
      <w:r w:rsidR="00151E05" w:rsidRPr="004618D5">
        <w:rPr>
          <w:rFonts w:ascii="Times New Roman" w:hAnsi="Times New Roman" w:cs="Times New Roman"/>
          <w:szCs w:val="24"/>
          <w:lang w:val="fr-FR" w:eastAsia="en-GB"/>
        </w:rPr>
        <w:t>union homosexuelle, c</w:t>
      </w:r>
      <w:r w:rsidR="004618D5" w:rsidRPr="004618D5">
        <w:rPr>
          <w:rFonts w:ascii="Times New Roman" w:hAnsi="Times New Roman" w:cs="Times New Roman"/>
          <w:szCs w:val="24"/>
          <w:lang w:val="fr-FR" w:eastAsia="en-GB"/>
        </w:rPr>
        <w:t>’</w:t>
      </w:r>
      <w:r w:rsidR="00151E05" w:rsidRPr="004618D5">
        <w:rPr>
          <w:rFonts w:ascii="Times New Roman" w:hAnsi="Times New Roman" w:cs="Times New Roman"/>
          <w:szCs w:val="24"/>
          <w:lang w:val="fr-FR" w:eastAsia="en-GB"/>
        </w:rPr>
        <w:t>est-à-dire la cohabitation entre deux</w:t>
      </w:r>
      <w:r w:rsidR="00E251A2" w:rsidRPr="004618D5">
        <w:rPr>
          <w:rFonts w:ascii="Times New Roman" w:hAnsi="Times New Roman" w:cs="Times New Roman"/>
          <w:szCs w:val="24"/>
          <w:lang w:val="fr-FR" w:eastAsia="en-GB"/>
        </w:rPr>
        <w:t> </w:t>
      </w:r>
      <w:r w:rsidR="00151E05" w:rsidRPr="004618D5">
        <w:rPr>
          <w:rFonts w:ascii="Times New Roman" w:hAnsi="Times New Roman" w:cs="Times New Roman"/>
          <w:szCs w:val="24"/>
          <w:lang w:val="fr-FR" w:eastAsia="en-GB"/>
        </w:rPr>
        <w:t>personnes du même sexe, doit être considérée comme une « formation sociale » au sens de l</w:t>
      </w:r>
      <w:r w:rsidR="004618D5" w:rsidRPr="004618D5">
        <w:rPr>
          <w:rFonts w:ascii="Times New Roman" w:hAnsi="Times New Roman" w:cs="Times New Roman"/>
          <w:szCs w:val="24"/>
          <w:lang w:val="fr-FR" w:eastAsia="en-GB"/>
        </w:rPr>
        <w:t>’</w:t>
      </w:r>
      <w:r w:rsidR="00151E05" w:rsidRPr="004618D5">
        <w:rPr>
          <w:rFonts w:ascii="Times New Roman" w:hAnsi="Times New Roman" w:cs="Times New Roman"/>
          <w:szCs w:val="24"/>
          <w:lang w:val="fr-FR" w:eastAsia="en-GB"/>
        </w:rPr>
        <w:t xml:space="preserve">article 2 de la Constitution. Dès lors, </w:t>
      </w:r>
      <w:r w:rsidR="007B1D8F" w:rsidRPr="004618D5">
        <w:rPr>
          <w:rFonts w:ascii="Times New Roman" w:hAnsi="Times New Roman" w:cs="Times New Roman"/>
          <w:szCs w:val="24"/>
          <w:lang w:val="fr-FR" w:eastAsia="en-GB"/>
        </w:rPr>
        <w:t xml:space="preserve">selon le Gouvernement, </w:t>
      </w:r>
      <w:r w:rsidR="00151E05" w:rsidRPr="004618D5">
        <w:rPr>
          <w:rFonts w:ascii="Times New Roman" w:hAnsi="Times New Roman" w:cs="Times New Roman"/>
          <w:szCs w:val="24"/>
          <w:lang w:val="fr-FR" w:eastAsia="en-GB"/>
        </w:rPr>
        <w:t xml:space="preserve">afin de protéger des situations spécifiques, les couples homosexuels </w:t>
      </w:r>
      <w:r w:rsidR="007B1D8F" w:rsidRPr="004618D5">
        <w:rPr>
          <w:rFonts w:ascii="Times New Roman" w:hAnsi="Times New Roman" w:cs="Times New Roman"/>
          <w:szCs w:val="24"/>
          <w:lang w:val="fr-FR" w:eastAsia="en-GB"/>
        </w:rPr>
        <w:t>o</w:t>
      </w:r>
      <w:r w:rsidR="00816BE4" w:rsidRPr="004618D5">
        <w:rPr>
          <w:rFonts w:ascii="Times New Roman" w:hAnsi="Times New Roman" w:cs="Times New Roman"/>
          <w:szCs w:val="24"/>
          <w:lang w:val="fr-FR" w:eastAsia="en-GB"/>
        </w:rPr>
        <w:t xml:space="preserve">nt </w:t>
      </w:r>
      <w:r w:rsidR="00151E05" w:rsidRPr="004618D5">
        <w:rPr>
          <w:rFonts w:ascii="Times New Roman" w:hAnsi="Times New Roman" w:cs="Times New Roman"/>
          <w:szCs w:val="24"/>
          <w:lang w:val="fr-FR" w:eastAsia="en-GB"/>
        </w:rPr>
        <w:t>le droit de demander un « traitement paritaire »</w:t>
      </w:r>
      <w:r w:rsidR="002849B2" w:rsidRPr="004618D5">
        <w:rPr>
          <w:rFonts w:ascii="Times New Roman" w:hAnsi="Times New Roman" w:cs="Times New Roman"/>
          <w:szCs w:val="24"/>
          <w:lang w:val="fr-FR" w:eastAsia="en-GB"/>
        </w:rPr>
        <w:t>, c</w:t>
      </w:r>
      <w:r w:rsidR="004618D5" w:rsidRPr="004618D5">
        <w:rPr>
          <w:rFonts w:ascii="Times New Roman" w:hAnsi="Times New Roman" w:cs="Times New Roman"/>
          <w:szCs w:val="24"/>
          <w:lang w:val="fr-FR" w:eastAsia="en-GB"/>
        </w:rPr>
        <w:t>’est</w:t>
      </w:r>
      <w:r w:rsidR="004618D5" w:rsidRPr="004618D5">
        <w:rPr>
          <w:rFonts w:ascii="Times New Roman" w:hAnsi="Times New Roman" w:cs="Times New Roman"/>
          <w:szCs w:val="24"/>
          <w:lang w:val="fr-FR" w:eastAsia="en-GB"/>
        </w:rPr>
        <w:noBreakHyphen/>
        <w:t>à</w:t>
      </w:r>
      <w:r w:rsidR="004618D5" w:rsidRPr="004618D5">
        <w:rPr>
          <w:rFonts w:ascii="Times New Roman" w:hAnsi="Times New Roman" w:cs="Times New Roman"/>
          <w:szCs w:val="24"/>
          <w:lang w:val="fr-FR" w:eastAsia="en-GB"/>
        </w:rPr>
        <w:noBreakHyphen/>
      </w:r>
      <w:r w:rsidR="002849B2" w:rsidRPr="004618D5">
        <w:rPr>
          <w:rFonts w:ascii="Times New Roman" w:hAnsi="Times New Roman" w:cs="Times New Roman"/>
          <w:szCs w:val="24"/>
          <w:lang w:val="fr-FR" w:eastAsia="en-GB"/>
        </w:rPr>
        <w:t xml:space="preserve">dire comparable </w:t>
      </w:r>
      <w:r w:rsidR="00151E05" w:rsidRPr="004618D5">
        <w:rPr>
          <w:rFonts w:ascii="Times New Roman" w:hAnsi="Times New Roman" w:cs="Times New Roman"/>
          <w:szCs w:val="24"/>
          <w:lang w:val="fr-FR" w:eastAsia="en-GB"/>
        </w:rPr>
        <w:t>à celui du couple marié (l</w:t>
      </w:r>
      <w:r w:rsidR="004618D5" w:rsidRPr="004618D5">
        <w:rPr>
          <w:rFonts w:ascii="Times New Roman" w:hAnsi="Times New Roman" w:cs="Times New Roman"/>
          <w:szCs w:val="24"/>
          <w:lang w:val="fr-FR" w:eastAsia="en-GB"/>
        </w:rPr>
        <w:t>’</w:t>
      </w:r>
      <w:r w:rsidR="00151E05" w:rsidRPr="004618D5">
        <w:rPr>
          <w:rFonts w:ascii="Times New Roman" w:hAnsi="Times New Roman" w:cs="Times New Roman"/>
          <w:szCs w:val="24"/>
          <w:lang w:val="fr-FR" w:eastAsia="en-GB"/>
        </w:rPr>
        <w:t>arrêt n</w:t>
      </w:r>
      <w:r w:rsidR="00B55B33" w:rsidRPr="004618D5">
        <w:rPr>
          <w:rFonts w:ascii="Times New Roman" w:hAnsi="Times New Roman" w:cs="Times New Roman"/>
          <w:szCs w:val="24"/>
          <w:vertAlign w:val="superscript"/>
          <w:lang w:val="fr-FR" w:eastAsia="en-GB"/>
        </w:rPr>
        <w:t>o</w:t>
      </w:r>
      <w:r w:rsidR="00151E05" w:rsidRPr="004618D5">
        <w:rPr>
          <w:rFonts w:ascii="Times New Roman" w:hAnsi="Times New Roman" w:cs="Times New Roman"/>
          <w:szCs w:val="24"/>
          <w:lang w:val="fr-FR" w:eastAsia="en-GB"/>
        </w:rPr>
        <w:t xml:space="preserve"> 138 de 2010 est décrit dans</w:t>
      </w:r>
      <w:r w:rsidR="008723DD" w:rsidRPr="004618D5">
        <w:rPr>
          <w:rFonts w:ascii="Times New Roman" w:hAnsi="Times New Roman" w:cs="Times New Roman"/>
          <w:szCs w:val="24"/>
          <w:lang w:val="fr-FR" w:eastAsia="en-GB"/>
        </w:rPr>
        <w:t xml:space="preserve"> l</w:t>
      </w:r>
      <w:r w:rsidR="004618D5" w:rsidRPr="004618D5">
        <w:rPr>
          <w:rFonts w:ascii="Times New Roman" w:hAnsi="Times New Roman" w:cs="Times New Roman"/>
          <w:szCs w:val="24"/>
          <w:lang w:val="fr-FR" w:eastAsia="en-GB"/>
        </w:rPr>
        <w:t>’</w:t>
      </w:r>
      <w:r w:rsidR="008723DD" w:rsidRPr="004618D5">
        <w:rPr>
          <w:rFonts w:ascii="Times New Roman" w:hAnsi="Times New Roman" w:cs="Times New Roman"/>
          <w:szCs w:val="24"/>
          <w:lang w:val="fr-FR" w:eastAsia="en-GB"/>
        </w:rPr>
        <w:t>arrêt</w:t>
      </w:r>
      <w:r w:rsidR="00151E05" w:rsidRPr="004618D5">
        <w:rPr>
          <w:rFonts w:ascii="Times New Roman" w:hAnsi="Times New Roman" w:cs="Times New Roman"/>
          <w:szCs w:val="24"/>
          <w:lang w:val="fr-FR" w:eastAsia="en-GB"/>
        </w:rPr>
        <w:t xml:space="preserve"> </w:t>
      </w:r>
      <w:r w:rsidR="00151E05" w:rsidRPr="004618D5">
        <w:rPr>
          <w:rFonts w:ascii="Times New Roman" w:hAnsi="Times New Roman" w:cs="Times New Roman"/>
          <w:i/>
          <w:szCs w:val="24"/>
          <w:lang w:val="fr-FR" w:eastAsia="en-GB"/>
        </w:rPr>
        <w:t>Oliari et autres c. Italie</w:t>
      </w:r>
      <w:r w:rsidR="00151E05" w:rsidRPr="004618D5">
        <w:rPr>
          <w:rFonts w:ascii="Times New Roman" w:hAnsi="Times New Roman" w:cs="Times New Roman"/>
          <w:szCs w:val="24"/>
          <w:lang w:val="fr-FR" w:eastAsia="en-GB"/>
        </w:rPr>
        <w:t>, n</w:t>
      </w:r>
      <w:r w:rsidR="00151E05" w:rsidRPr="004618D5">
        <w:rPr>
          <w:rFonts w:ascii="Times New Roman" w:hAnsi="Times New Roman" w:cs="Times New Roman"/>
          <w:szCs w:val="24"/>
          <w:vertAlign w:val="superscript"/>
          <w:lang w:val="fr-FR" w:eastAsia="en-GB"/>
        </w:rPr>
        <w:t>os</w:t>
      </w:r>
      <w:r w:rsidR="00151E05" w:rsidRPr="004618D5">
        <w:rPr>
          <w:rFonts w:ascii="Times New Roman" w:hAnsi="Times New Roman" w:cs="Times New Roman"/>
          <w:szCs w:val="24"/>
          <w:lang w:val="fr-FR" w:eastAsia="en-GB"/>
        </w:rPr>
        <w:t xml:space="preserve"> </w:t>
      </w:r>
      <w:r w:rsidR="00151E05" w:rsidRPr="004618D5">
        <w:rPr>
          <w:lang w:val="fr-FR"/>
        </w:rPr>
        <w:t>18766/11 et 36030/11</w:t>
      </w:r>
      <w:r w:rsidR="00151E05" w:rsidRPr="004618D5">
        <w:rPr>
          <w:rFonts w:ascii="Times New Roman" w:hAnsi="Times New Roman" w:cs="Times New Roman"/>
          <w:szCs w:val="24"/>
          <w:lang w:val="fr-FR" w:eastAsia="en-GB"/>
        </w:rPr>
        <w:t>, §§</w:t>
      </w:r>
      <w:r w:rsidR="00E251A2" w:rsidRPr="004618D5">
        <w:rPr>
          <w:rFonts w:ascii="Times New Roman" w:hAnsi="Times New Roman" w:cs="Times New Roman"/>
          <w:szCs w:val="24"/>
          <w:lang w:val="fr-FR" w:eastAsia="en-GB"/>
        </w:rPr>
        <w:t> </w:t>
      </w:r>
      <w:r w:rsidR="00151E05" w:rsidRPr="004618D5">
        <w:rPr>
          <w:rFonts w:ascii="Times New Roman" w:hAnsi="Times New Roman" w:cs="Times New Roman"/>
          <w:szCs w:val="24"/>
          <w:lang w:val="fr-FR" w:eastAsia="en-GB"/>
        </w:rPr>
        <w:t>15</w:t>
      </w:r>
      <w:r w:rsidR="00E251A2" w:rsidRPr="004618D5">
        <w:rPr>
          <w:rFonts w:ascii="Times New Roman" w:hAnsi="Times New Roman" w:cs="Times New Roman"/>
          <w:szCs w:val="24"/>
          <w:lang w:val="fr-FR" w:eastAsia="en-GB"/>
        </w:rPr>
        <w:t xml:space="preserve"> à </w:t>
      </w:r>
      <w:r w:rsidR="00151E05" w:rsidRPr="004618D5">
        <w:rPr>
          <w:rFonts w:ascii="Times New Roman" w:hAnsi="Times New Roman" w:cs="Times New Roman"/>
          <w:szCs w:val="24"/>
          <w:lang w:val="fr-FR" w:eastAsia="en-GB"/>
        </w:rPr>
        <w:t>18, 21 juillet 2015). Les droits civils des couples homosexuels et des couples hétérosexuels non mariés feraient par ailleurs l</w:t>
      </w:r>
      <w:r w:rsidR="004618D5" w:rsidRPr="004618D5">
        <w:rPr>
          <w:rFonts w:ascii="Times New Roman" w:hAnsi="Times New Roman" w:cs="Times New Roman"/>
          <w:szCs w:val="24"/>
          <w:lang w:val="fr-FR" w:eastAsia="en-GB"/>
        </w:rPr>
        <w:t>’</w:t>
      </w:r>
      <w:r w:rsidR="00151E05" w:rsidRPr="004618D5">
        <w:rPr>
          <w:rFonts w:ascii="Times New Roman" w:hAnsi="Times New Roman" w:cs="Times New Roman"/>
          <w:szCs w:val="24"/>
          <w:lang w:val="fr-FR" w:eastAsia="en-GB"/>
        </w:rPr>
        <w:t xml:space="preserve">objet </w:t>
      </w:r>
      <w:r w:rsidR="00AF34D8" w:rsidRPr="004618D5">
        <w:rPr>
          <w:rFonts w:ascii="Times New Roman" w:hAnsi="Times New Roman" w:cs="Times New Roman"/>
          <w:szCs w:val="24"/>
          <w:lang w:val="fr-FR" w:eastAsia="en-GB"/>
        </w:rPr>
        <w:t>d</w:t>
      </w:r>
      <w:r w:rsidR="004618D5" w:rsidRPr="004618D5">
        <w:rPr>
          <w:rFonts w:ascii="Times New Roman" w:hAnsi="Times New Roman" w:cs="Times New Roman"/>
          <w:szCs w:val="24"/>
          <w:lang w:val="fr-FR" w:eastAsia="en-GB"/>
        </w:rPr>
        <w:t>’</w:t>
      </w:r>
      <w:r w:rsidR="00AF34D8" w:rsidRPr="004618D5">
        <w:rPr>
          <w:rFonts w:ascii="Times New Roman" w:hAnsi="Times New Roman" w:cs="Times New Roman"/>
          <w:szCs w:val="24"/>
          <w:lang w:val="fr-FR" w:eastAsia="en-GB"/>
        </w:rPr>
        <w:t xml:space="preserve">un débat dans plusieurs États européens et au sein du Parlement italien, à la lumière, entre autres, de la jurisprudence de la Cour et des </w:t>
      </w:r>
      <w:r w:rsidR="00630247" w:rsidRPr="004618D5">
        <w:rPr>
          <w:rFonts w:ascii="Times New Roman" w:hAnsi="Times New Roman" w:cs="Times New Roman"/>
          <w:szCs w:val="24"/>
          <w:lang w:val="fr-FR" w:eastAsia="en-GB"/>
        </w:rPr>
        <w:t>documents émanant</w:t>
      </w:r>
      <w:r w:rsidR="00AF34D8" w:rsidRPr="004618D5">
        <w:rPr>
          <w:rFonts w:ascii="Times New Roman" w:hAnsi="Times New Roman" w:cs="Times New Roman"/>
          <w:szCs w:val="24"/>
          <w:lang w:val="fr-FR" w:eastAsia="en-GB"/>
        </w:rPr>
        <w:t xml:space="preserve"> du Conseil de l</w:t>
      </w:r>
      <w:r w:rsidR="004618D5" w:rsidRPr="004618D5">
        <w:rPr>
          <w:rFonts w:ascii="Times New Roman" w:hAnsi="Times New Roman" w:cs="Times New Roman"/>
          <w:szCs w:val="24"/>
          <w:lang w:val="fr-FR" w:eastAsia="en-GB"/>
        </w:rPr>
        <w:t>’</w:t>
      </w:r>
      <w:r w:rsidR="00AF34D8" w:rsidRPr="004618D5">
        <w:rPr>
          <w:rFonts w:ascii="Times New Roman" w:hAnsi="Times New Roman" w:cs="Times New Roman"/>
          <w:szCs w:val="24"/>
          <w:lang w:val="fr-FR" w:eastAsia="en-GB"/>
        </w:rPr>
        <w:t>Europe.</w:t>
      </w:r>
    </w:p>
    <w:p w:rsidR="002A2942" w:rsidRPr="004618D5" w:rsidRDefault="002A2942" w:rsidP="004618D5">
      <w:pPr>
        <w:pStyle w:val="ECHRPara"/>
        <w:rPr>
          <w:rFonts w:ascii="Times New Roman" w:hAnsi="Times New Roman" w:cs="Times New Roman"/>
          <w:szCs w:val="24"/>
          <w:lang w:val="fr-FR" w:eastAsia="en-GB"/>
        </w:rPr>
      </w:pPr>
      <w:r w:rsidRPr="004618D5">
        <w:rPr>
          <w:rFonts w:ascii="Times New Roman" w:hAnsi="Times New Roman" w:cs="Times New Roman"/>
          <w:szCs w:val="24"/>
          <w:lang w:val="fr-FR" w:eastAsia="en-GB"/>
        </w:rPr>
        <w:fldChar w:fldCharType="begin"/>
      </w:r>
      <w:r w:rsidRPr="004618D5">
        <w:rPr>
          <w:rFonts w:ascii="Times New Roman" w:hAnsi="Times New Roman" w:cs="Times New Roman"/>
          <w:szCs w:val="24"/>
          <w:lang w:val="fr-FR" w:eastAsia="en-GB"/>
        </w:rPr>
        <w:instrText xml:space="preserve"> SEQ level0 \*arabic </w:instrText>
      </w:r>
      <w:r w:rsidRPr="004618D5">
        <w:rPr>
          <w:rFonts w:ascii="Times New Roman" w:hAnsi="Times New Roman" w:cs="Times New Roman"/>
          <w:szCs w:val="24"/>
          <w:lang w:val="fr-FR" w:eastAsia="en-GB"/>
        </w:rPr>
        <w:fldChar w:fldCharType="separate"/>
      </w:r>
      <w:r w:rsidR="004618D5" w:rsidRPr="004618D5">
        <w:rPr>
          <w:rFonts w:ascii="Times New Roman" w:hAnsi="Times New Roman" w:cs="Times New Roman"/>
          <w:noProof/>
          <w:szCs w:val="24"/>
          <w:lang w:val="fr-FR" w:eastAsia="en-GB"/>
        </w:rPr>
        <w:t>65</w:t>
      </w:r>
      <w:r w:rsidRPr="004618D5">
        <w:rPr>
          <w:rFonts w:ascii="Times New Roman" w:hAnsi="Times New Roman" w:cs="Times New Roman"/>
          <w:szCs w:val="24"/>
          <w:lang w:val="fr-FR" w:eastAsia="en-GB"/>
        </w:rPr>
        <w:fldChar w:fldCharType="end"/>
      </w:r>
      <w:r w:rsidRPr="004618D5">
        <w:rPr>
          <w:rFonts w:ascii="Times New Roman" w:hAnsi="Times New Roman" w:cs="Times New Roman"/>
          <w:szCs w:val="24"/>
          <w:lang w:val="fr-FR" w:eastAsia="en-GB"/>
        </w:rPr>
        <w:t>.  </w:t>
      </w:r>
      <w:r w:rsidR="007B1D8F" w:rsidRPr="004618D5">
        <w:rPr>
          <w:rFonts w:ascii="Times New Roman" w:hAnsi="Times New Roman" w:cs="Times New Roman"/>
          <w:szCs w:val="24"/>
          <w:lang w:val="fr-FR" w:eastAsia="en-GB"/>
        </w:rPr>
        <w:t>Cependant, s</w:t>
      </w:r>
      <w:r w:rsidRPr="004618D5">
        <w:rPr>
          <w:rFonts w:ascii="Times New Roman" w:hAnsi="Times New Roman" w:cs="Times New Roman"/>
          <w:szCs w:val="24"/>
          <w:lang w:val="fr-FR" w:eastAsia="en-GB"/>
        </w:rPr>
        <w:t>elon le Gouvernement, qu</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un certain nombre d</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autres États aient adopté des lois en matière d</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unions civiles n</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oblige en rien l</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Italie à faire de même, le Parlement</w:t>
      </w:r>
      <w:r w:rsidR="00630247" w:rsidRPr="004618D5">
        <w:rPr>
          <w:rFonts w:ascii="Times New Roman" w:hAnsi="Times New Roman" w:cs="Times New Roman"/>
          <w:szCs w:val="24"/>
          <w:lang w:val="fr-FR" w:eastAsia="en-GB"/>
        </w:rPr>
        <w:t xml:space="preserve"> national</w:t>
      </w:r>
      <w:r w:rsidRPr="004618D5">
        <w:rPr>
          <w:rFonts w:ascii="Times New Roman" w:hAnsi="Times New Roman" w:cs="Times New Roman"/>
          <w:szCs w:val="24"/>
          <w:lang w:val="fr-FR" w:eastAsia="en-GB"/>
        </w:rPr>
        <w:t xml:space="preserve"> pouvant </w:t>
      </w:r>
      <w:r w:rsidR="00630247" w:rsidRPr="004618D5">
        <w:rPr>
          <w:rFonts w:ascii="Times New Roman" w:hAnsi="Times New Roman" w:cs="Times New Roman"/>
          <w:szCs w:val="24"/>
          <w:lang w:val="fr-FR" w:eastAsia="en-GB"/>
        </w:rPr>
        <w:t xml:space="preserve">toujours </w:t>
      </w:r>
      <w:r w:rsidR="007B1D8F" w:rsidRPr="004618D5">
        <w:rPr>
          <w:rFonts w:ascii="Times New Roman" w:hAnsi="Times New Roman" w:cs="Times New Roman"/>
          <w:szCs w:val="24"/>
          <w:lang w:val="fr-FR" w:eastAsia="en-GB"/>
        </w:rPr>
        <w:t xml:space="preserve">jouir de </w:t>
      </w:r>
      <w:r w:rsidRPr="004618D5">
        <w:rPr>
          <w:rFonts w:ascii="Times New Roman" w:hAnsi="Times New Roman" w:cs="Times New Roman"/>
          <w:szCs w:val="24"/>
          <w:lang w:val="fr-FR" w:eastAsia="en-GB"/>
        </w:rPr>
        <w:t>sa marge d</w:t>
      </w:r>
      <w:r w:rsidR="004618D5"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 xml:space="preserve">appréciation. </w:t>
      </w:r>
      <w:r w:rsidR="001E192E" w:rsidRPr="004618D5">
        <w:rPr>
          <w:rFonts w:ascii="Times New Roman" w:hAnsi="Times New Roman" w:cs="Times New Roman"/>
          <w:szCs w:val="24"/>
          <w:lang w:val="fr-FR" w:eastAsia="en-GB"/>
        </w:rPr>
        <w:t>Le Gouvernement</w:t>
      </w:r>
      <w:r w:rsidR="00E037DE" w:rsidRPr="004618D5">
        <w:rPr>
          <w:rFonts w:ascii="Times New Roman" w:hAnsi="Times New Roman" w:cs="Times New Roman"/>
          <w:szCs w:val="24"/>
          <w:lang w:val="fr-FR" w:eastAsia="en-GB"/>
        </w:rPr>
        <w:t xml:space="preserve"> </w:t>
      </w:r>
      <w:r w:rsidR="007B1D8F" w:rsidRPr="004618D5">
        <w:rPr>
          <w:rFonts w:ascii="Times New Roman" w:hAnsi="Times New Roman" w:cs="Times New Roman"/>
          <w:szCs w:val="24"/>
          <w:lang w:val="fr-FR" w:eastAsia="en-GB"/>
        </w:rPr>
        <w:t>précise</w:t>
      </w:r>
      <w:r w:rsidR="00E037DE" w:rsidRPr="004618D5">
        <w:rPr>
          <w:rFonts w:ascii="Times New Roman" w:hAnsi="Times New Roman" w:cs="Times New Roman"/>
          <w:szCs w:val="24"/>
          <w:lang w:val="fr-FR" w:eastAsia="en-GB"/>
        </w:rPr>
        <w:t xml:space="preserve"> que l</w:t>
      </w:r>
      <w:r w:rsidRPr="004618D5">
        <w:rPr>
          <w:rFonts w:ascii="Times New Roman" w:hAnsi="Times New Roman" w:cs="Times New Roman"/>
          <w:szCs w:val="24"/>
          <w:lang w:val="fr-FR" w:eastAsia="en-GB"/>
        </w:rPr>
        <w:t xml:space="preserve">a Cour constitutionnelle </w:t>
      </w:r>
      <w:r w:rsidR="00E037DE" w:rsidRPr="004618D5">
        <w:rPr>
          <w:rFonts w:ascii="Times New Roman" w:hAnsi="Times New Roman" w:cs="Times New Roman"/>
          <w:szCs w:val="24"/>
          <w:lang w:val="fr-FR" w:eastAsia="en-GB"/>
        </w:rPr>
        <w:t>l</w:t>
      </w:r>
      <w:r w:rsidR="004618D5" w:rsidRPr="004618D5">
        <w:rPr>
          <w:rFonts w:ascii="Times New Roman" w:hAnsi="Times New Roman" w:cs="Times New Roman"/>
          <w:szCs w:val="24"/>
          <w:lang w:val="fr-FR" w:eastAsia="en-GB"/>
        </w:rPr>
        <w:t>’</w:t>
      </w:r>
      <w:r w:rsidR="00E037DE" w:rsidRPr="004618D5">
        <w:rPr>
          <w:rFonts w:ascii="Times New Roman" w:hAnsi="Times New Roman" w:cs="Times New Roman"/>
          <w:szCs w:val="24"/>
          <w:lang w:val="fr-FR" w:eastAsia="en-GB"/>
        </w:rPr>
        <w:t xml:space="preserve">a reconnu </w:t>
      </w:r>
      <w:r w:rsidRPr="004618D5">
        <w:rPr>
          <w:rFonts w:ascii="Times New Roman" w:hAnsi="Times New Roman" w:cs="Times New Roman"/>
          <w:szCs w:val="24"/>
          <w:lang w:val="fr-FR" w:eastAsia="en-GB"/>
        </w:rPr>
        <w:t>dans son arrêt n</w:t>
      </w:r>
      <w:r w:rsidR="00B55B33" w:rsidRPr="004618D5">
        <w:rPr>
          <w:rFonts w:ascii="Times New Roman" w:hAnsi="Times New Roman" w:cs="Times New Roman"/>
          <w:szCs w:val="24"/>
          <w:vertAlign w:val="superscript"/>
          <w:lang w:val="fr-FR" w:eastAsia="en-GB"/>
        </w:rPr>
        <w:t>o</w:t>
      </w:r>
      <w:r w:rsidRPr="004618D5">
        <w:rPr>
          <w:rFonts w:ascii="Times New Roman" w:hAnsi="Times New Roman" w:cs="Times New Roman"/>
          <w:szCs w:val="24"/>
          <w:lang w:val="fr-FR" w:eastAsia="en-GB"/>
        </w:rPr>
        <w:t xml:space="preserve"> 138 de 2010</w:t>
      </w:r>
      <w:r w:rsidR="001E192E" w:rsidRPr="004618D5">
        <w:rPr>
          <w:rFonts w:ascii="Times New Roman" w:hAnsi="Times New Roman" w:cs="Times New Roman"/>
          <w:szCs w:val="24"/>
          <w:lang w:val="fr-FR" w:eastAsia="en-GB"/>
        </w:rPr>
        <w:t>,</w:t>
      </w:r>
      <w:r w:rsidRPr="004618D5">
        <w:rPr>
          <w:rFonts w:ascii="Times New Roman" w:hAnsi="Times New Roman" w:cs="Times New Roman"/>
          <w:szCs w:val="24"/>
          <w:lang w:val="fr-FR" w:eastAsia="en-GB"/>
        </w:rPr>
        <w:t xml:space="preserve"> prononcé après la présentation par le deuxième requérant de sa demande de permis de séjour </w:t>
      </w:r>
      <w:r w:rsidR="00E037DE" w:rsidRPr="004618D5">
        <w:rPr>
          <w:rFonts w:ascii="Times New Roman" w:hAnsi="Times New Roman" w:cs="Times New Roman"/>
          <w:szCs w:val="24"/>
          <w:lang w:val="fr-FR" w:eastAsia="en-GB"/>
        </w:rPr>
        <w:t>pour raison familiale.</w:t>
      </w:r>
    </w:p>
    <w:p w:rsidR="00494F0D" w:rsidRPr="004618D5" w:rsidRDefault="00CF7C0A" w:rsidP="004618D5">
      <w:pPr>
        <w:pStyle w:val="ECHRPara"/>
        <w:rPr>
          <w:rFonts w:ascii="Times New Roman" w:hAnsi="Times New Roman" w:cs="Times New Roman"/>
          <w:szCs w:val="24"/>
          <w:lang w:val="fr-FR" w:eastAsia="en-GB"/>
        </w:rPr>
      </w:pPr>
      <w:r w:rsidRPr="004618D5">
        <w:rPr>
          <w:rFonts w:ascii="Times New Roman" w:hAnsi="Times New Roman" w:cs="Times New Roman"/>
          <w:szCs w:val="24"/>
          <w:lang w:val="fr-FR" w:eastAsia="en-GB"/>
        </w:rPr>
        <w:fldChar w:fldCharType="begin"/>
      </w:r>
      <w:r w:rsidRPr="004618D5">
        <w:rPr>
          <w:rFonts w:ascii="Times New Roman" w:hAnsi="Times New Roman" w:cs="Times New Roman"/>
          <w:szCs w:val="24"/>
          <w:lang w:val="fr-FR" w:eastAsia="en-GB"/>
        </w:rPr>
        <w:instrText xml:space="preserve"> SEQ level0 \*arabic </w:instrText>
      </w:r>
      <w:r w:rsidRPr="004618D5">
        <w:rPr>
          <w:rFonts w:ascii="Times New Roman" w:hAnsi="Times New Roman" w:cs="Times New Roman"/>
          <w:szCs w:val="24"/>
          <w:lang w:val="fr-FR" w:eastAsia="en-GB"/>
        </w:rPr>
        <w:fldChar w:fldCharType="separate"/>
      </w:r>
      <w:r w:rsidR="004618D5" w:rsidRPr="004618D5">
        <w:rPr>
          <w:rFonts w:ascii="Times New Roman" w:hAnsi="Times New Roman" w:cs="Times New Roman"/>
          <w:noProof/>
          <w:szCs w:val="24"/>
          <w:lang w:val="fr-FR" w:eastAsia="en-GB"/>
        </w:rPr>
        <w:t>66</w:t>
      </w:r>
      <w:r w:rsidRPr="004618D5">
        <w:rPr>
          <w:rFonts w:ascii="Times New Roman" w:hAnsi="Times New Roman" w:cs="Times New Roman"/>
          <w:szCs w:val="24"/>
          <w:lang w:val="fr-FR" w:eastAsia="en-GB"/>
        </w:rPr>
        <w:fldChar w:fldCharType="end"/>
      </w:r>
      <w:r w:rsidRPr="004618D5">
        <w:rPr>
          <w:rFonts w:ascii="Times New Roman" w:hAnsi="Times New Roman" w:cs="Times New Roman"/>
          <w:szCs w:val="24"/>
          <w:lang w:val="fr-FR" w:eastAsia="en-GB"/>
        </w:rPr>
        <w:t>.  </w:t>
      </w:r>
      <w:r w:rsidR="00630247" w:rsidRPr="004618D5">
        <w:rPr>
          <w:rFonts w:ascii="Times New Roman" w:hAnsi="Times New Roman" w:cs="Times New Roman"/>
          <w:szCs w:val="24"/>
          <w:lang w:val="fr-FR" w:eastAsia="en-GB"/>
        </w:rPr>
        <w:t xml:space="preserve">Le Gouvernement </w:t>
      </w:r>
      <w:r w:rsidR="00602BC3" w:rsidRPr="004618D5">
        <w:rPr>
          <w:rFonts w:ascii="Times New Roman" w:hAnsi="Times New Roman" w:cs="Times New Roman"/>
          <w:szCs w:val="24"/>
          <w:lang w:val="fr-FR" w:eastAsia="en-GB"/>
        </w:rPr>
        <w:t xml:space="preserve">indique </w:t>
      </w:r>
      <w:r w:rsidR="00630247" w:rsidRPr="004618D5">
        <w:rPr>
          <w:rFonts w:ascii="Times New Roman" w:hAnsi="Times New Roman" w:cs="Times New Roman"/>
          <w:szCs w:val="24"/>
          <w:lang w:val="fr-FR" w:eastAsia="en-GB"/>
        </w:rPr>
        <w:t>en outre que</w:t>
      </w:r>
      <w:r w:rsidR="00E037DE" w:rsidRPr="004618D5">
        <w:rPr>
          <w:rFonts w:ascii="Times New Roman" w:hAnsi="Times New Roman" w:cs="Times New Roman"/>
          <w:szCs w:val="24"/>
          <w:lang w:val="fr-FR" w:eastAsia="en-GB"/>
        </w:rPr>
        <w:t>,</w:t>
      </w:r>
      <w:r w:rsidR="00630247" w:rsidRPr="004618D5">
        <w:rPr>
          <w:rFonts w:ascii="Times New Roman" w:hAnsi="Times New Roman" w:cs="Times New Roman"/>
          <w:szCs w:val="24"/>
          <w:lang w:val="fr-FR" w:eastAsia="en-GB"/>
        </w:rPr>
        <w:t xml:space="preserve"> dans son</w:t>
      </w:r>
      <w:r w:rsidRPr="004618D5">
        <w:rPr>
          <w:rFonts w:ascii="Times New Roman" w:hAnsi="Times New Roman" w:cs="Times New Roman"/>
          <w:szCs w:val="24"/>
          <w:lang w:val="fr-FR" w:eastAsia="en-GB"/>
        </w:rPr>
        <w:t xml:space="preserve"> arrêt n</w:t>
      </w:r>
      <w:r w:rsidR="00B55B33" w:rsidRPr="004618D5">
        <w:rPr>
          <w:rFonts w:ascii="Times New Roman" w:hAnsi="Times New Roman" w:cs="Times New Roman"/>
          <w:szCs w:val="24"/>
          <w:vertAlign w:val="superscript"/>
          <w:lang w:val="fr-FR" w:eastAsia="en-GB"/>
        </w:rPr>
        <w:t>o</w:t>
      </w:r>
      <w:r w:rsidRPr="004618D5">
        <w:rPr>
          <w:rFonts w:ascii="Times New Roman" w:hAnsi="Times New Roman" w:cs="Times New Roman"/>
          <w:szCs w:val="24"/>
          <w:lang w:val="fr-FR" w:eastAsia="en-GB"/>
        </w:rPr>
        <w:t xml:space="preserve"> 4184 du 15</w:t>
      </w:r>
      <w:r w:rsidR="00630247" w:rsidRPr="004618D5">
        <w:rPr>
          <w:rFonts w:ascii="Times New Roman" w:hAnsi="Times New Roman" w:cs="Times New Roman"/>
          <w:szCs w:val="24"/>
          <w:lang w:val="fr-FR" w:eastAsia="en-GB"/>
        </w:rPr>
        <w:t> </w:t>
      </w:r>
      <w:r w:rsidRPr="004618D5">
        <w:rPr>
          <w:rFonts w:ascii="Times New Roman" w:hAnsi="Times New Roman" w:cs="Times New Roman"/>
          <w:szCs w:val="24"/>
          <w:lang w:val="fr-FR" w:eastAsia="en-GB"/>
        </w:rPr>
        <w:t xml:space="preserve">mars 2012, </w:t>
      </w:r>
      <w:r w:rsidR="00630247" w:rsidRPr="004618D5">
        <w:rPr>
          <w:rFonts w:ascii="Times New Roman" w:hAnsi="Times New Roman" w:cs="Times New Roman"/>
          <w:szCs w:val="24"/>
          <w:lang w:val="fr-FR" w:eastAsia="en-GB"/>
        </w:rPr>
        <w:t>la Cour de cassation</w:t>
      </w:r>
      <w:r w:rsidRPr="004618D5">
        <w:rPr>
          <w:rFonts w:ascii="Times New Roman" w:hAnsi="Times New Roman" w:cs="Times New Roman"/>
          <w:szCs w:val="24"/>
          <w:lang w:val="fr-FR" w:eastAsia="en-GB"/>
        </w:rPr>
        <w:t xml:space="preserve"> a affirmé que</w:t>
      </w:r>
      <w:r w:rsidR="000B057C" w:rsidRPr="004618D5">
        <w:rPr>
          <w:rFonts w:ascii="Times New Roman" w:hAnsi="Times New Roman" w:cs="Times New Roman"/>
          <w:szCs w:val="24"/>
          <w:lang w:val="fr-FR" w:eastAsia="en-GB"/>
        </w:rPr>
        <w:t xml:space="preserve"> </w:t>
      </w:r>
      <w:r w:rsidRPr="004618D5">
        <w:rPr>
          <w:rFonts w:ascii="Times New Roman" w:hAnsi="Times New Roman" w:cs="Times New Roman"/>
          <w:szCs w:val="24"/>
          <w:lang w:val="fr-FR" w:eastAsia="en-GB"/>
        </w:rPr>
        <w:t xml:space="preserve">les couples homosexuels </w:t>
      </w:r>
      <w:r w:rsidR="00816BE4" w:rsidRPr="004618D5">
        <w:rPr>
          <w:rFonts w:ascii="Times New Roman" w:hAnsi="Times New Roman" w:cs="Times New Roman"/>
          <w:szCs w:val="24"/>
          <w:lang w:val="fr-FR" w:eastAsia="en-GB"/>
        </w:rPr>
        <w:t xml:space="preserve">pouvaient </w:t>
      </w:r>
      <w:r w:rsidRPr="004618D5">
        <w:rPr>
          <w:rFonts w:ascii="Times New Roman" w:hAnsi="Times New Roman" w:cs="Times New Roman"/>
          <w:szCs w:val="24"/>
          <w:lang w:val="fr-FR" w:eastAsia="en-GB"/>
        </w:rPr>
        <w:t xml:space="preserve">invoquer </w:t>
      </w:r>
      <w:r w:rsidR="00E037DE" w:rsidRPr="004618D5">
        <w:rPr>
          <w:rFonts w:ascii="Times New Roman" w:hAnsi="Times New Roman" w:cs="Times New Roman"/>
          <w:szCs w:val="24"/>
          <w:lang w:val="fr-FR" w:eastAsia="en-GB"/>
        </w:rPr>
        <w:t xml:space="preserve">devant les tribunaux internes </w:t>
      </w:r>
      <w:r w:rsidRPr="004618D5">
        <w:rPr>
          <w:rFonts w:ascii="Times New Roman" w:hAnsi="Times New Roman" w:cs="Times New Roman"/>
          <w:szCs w:val="24"/>
          <w:lang w:val="fr-FR" w:eastAsia="en-GB"/>
        </w:rPr>
        <w:t>les droits reconnus aux couples hétérosexuels e</w:t>
      </w:r>
      <w:r w:rsidR="00494F0D" w:rsidRPr="004618D5">
        <w:rPr>
          <w:rFonts w:ascii="Times New Roman" w:hAnsi="Times New Roman" w:cs="Times New Roman"/>
          <w:szCs w:val="24"/>
          <w:lang w:val="fr-FR" w:eastAsia="en-GB"/>
        </w:rPr>
        <w:t>t, le cas échéant, exciper de l</w:t>
      </w:r>
      <w:r w:rsidR="004618D5" w:rsidRPr="004618D5">
        <w:rPr>
          <w:rFonts w:ascii="Times New Roman" w:hAnsi="Times New Roman" w:cs="Times New Roman"/>
          <w:szCs w:val="24"/>
          <w:lang w:val="fr-FR" w:eastAsia="en-GB"/>
        </w:rPr>
        <w:t>’</w:t>
      </w:r>
      <w:r w:rsidR="00494F0D" w:rsidRPr="004618D5">
        <w:rPr>
          <w:rFonts w:ascii="Times New Roman" w:hAnsi="Times New Roman" w:cs="Times New Roman"/>
          <w:szCs w:val="24"/>
          <w:lang w:val="fr-FR" w:eastAsia="en-GB"/>
        </w:rPr>
        <w:t xml:space="preserve">inconstitutionnalité des lois pertinentes. </w:t>
      </w:r>
      <w:r w:rsidR="001E192E" w:rsidRPr="004618D5">
        <w:rPr>
          <w:rFonts w:ascii="Times New Roman" w:hAnsi="Times New Roman" w:cs="Times New Roman"/>
          <w:szCs w:val="24"/>
          <w:lang w:val="fr-FR" w:eastAsia="en-GB"/>
        </w:rPr>
        <w:t>Il</w:t>
      </w:r>
      <w:r w:rsidR="00DF77A4" w:rsidRPr="004618D5">
        <w:rPr>
          <w:rFonts w:ascii="Times New Roman" w:hAnsi="Times New Roman" w:cs="Times New Roman"/>
          <w:szCs w:val="24"/>
          <w:lang w:val="fr-FR" w:eastAsia="en-GB"/>
        </w:rPr>
        <w:t xml:space="preserve"> ajoute </w:t>
      </w:r>
      <w:r w:rsidR="00333674" w:rsidRPr="004618D5">
        <w:rPr>
          <w:rFonts w:ascii="Times New Roman" w:hAnsi="Times New Roman" w:cs="Times New Roman"/>
          <w:szCs w:val="24"/>
          <w:lang w:val="fr-FR" w:eastAsia="en-GB"/>
        </w:rPr>
        <w:t>que</w:t>
      </w:r>
      <w:r w:rsidR="00E037DE" w:rsidRPr="004618D5">
        <w:rPr>
          <w:rFonts w:ascii="Times New Roman" w:hAnsi="Times New Roman" w:cs="Times New Roman"/>
          <w:szCs w:val="24"/>
          <w:lang w:val="fr-FR" w:eastAsia="en-GB"/>
        </w:rPr>
        <w:t>,</w:t>
      </w:r>
      <w:r w:rsidR="00494F0D" w:rsidRPr="004618D5">
        <w:rPr>
          <w:rFonts w:ascii="Times New Roman" w:hAnsi="Times New Roman" w:cs="Times New Roman"/>
          <w:szCs w:val="24"/>
          <w:lang w:val="fr-FR" w:eastAsia="en-GB"/>
        </w:rPr>
        <w:t xml:space="preserve"> dans le cas des requérants, la Cour de cassation </w:t>
      </w:r>
      <w:r w:rsidR="00E037DE" w:rsidRPr="004618D5">
        <w:rPr>
          <w:rFonts w:ascii="Times New Roman" w:hAnsi="Times New Roman" w:cs="Times New Roman"/>
          <w:szCs w:val="24"/>
          <w:lang w:val="fr-FR" w:eastAsia="en-GB"/>
        </w:rPr>
        <w:t>ne s</w:t>
      </w:r>
      <w:r w:rsidR="004618D5" w:rsidRPr="004618D5">
        <w:rPr>
          <w:rFonts w:ascii="Times New Roman" w:hAnsi="Times New Roman" w:cs="Times New Roman"/>
          <w:szCs w:val="24"/>
          <w:lang w:val="fr-FR" w:eastAsia="en-GB"/>
        </w:rPr>
        <w:t>’</w:t>
      </w:r>
      <w:r w:rsidR="00E037DE" w:rsidRPr="004618D5">
        <w:rPr>
          <w:rFonts w:ascii="Times New Roman" w:hAnsi="Times New Roman" w:cs="Times New Roman"/>
          <w:szCs w:val="24"/>
          <w:lang w:val="fr-FR" w:eastAsia="en-GB"/>
        </w:rPr>
        <w:t>est pas</w:t>
      </w:r>
      <w:r w:rsidR="00494F0D" w:rsidRPr="004618D5">
        <w:rPr>
          <w:rFonts w:ascii="Times New Roman" w:hAnsi="Times New Roman" w:cs="Times New Roman"/>
          <w:szCs w:val="24"/>
          <w:lang w:val="fr-FR" w:eastAsia="en-GB"/>
        </w:rPr>
        <w:t xml:space="preserve"> </w:t>
      </w:r>
      <w:r w:rsidR="001E192E" w:rsidRPr="004618D5">
        <w:rPr>
          <w:rFonts w:ascii="Times New Roman" w:hAnsi="Times New Roman" w:cs="Times New Roman"/>
          <w:szCs w:val="24"/>
          <w:lang w:val="fr-FR" w:eastAsia="en-GB"/>
        </w:rPr>
        <w:t xml:space="preserve">fondée </w:t>
      </w:r>
      <w:r w:rsidR="00494F0D" w:rsidRPr="004618D5">
        <w:rPr>
          <w:rFonts w:ascii="Times New Roman" w:hAnsi="Times New Roman" w:cs="Times New Roman"/>
          <w:szCs w:val="24"/>
          <w:lang w:val="fr-FR" w:eastAsia="en-GB"/>
        </w:rPr>
        <w:t xml:space="preserve">sur </w:t>
      </w:r>
      <w:r w:rsidR="0065487D" w:rsidRPr="004618D5">
        <w:rPr>
          <w:rFonts w:ascii="Times New Roman" w:hAnsi="Times New Roman" w:cs="Times New Roman"/>
          <w:szCs w:val="24"/>
          <w:lang w:val="fr-FR" w:eastAsia="en-GB"/>
        </w:rPr>
        <w:t>l</w:t>
      </w:r>
      <w:r w:rsidR="004618D5" w:rsidRPr="004618D5">
        <w:rPr>
          <w:rFonts w:ascii="Times New Roman" w:hAnsi="Times New Roman" w:cs="Times New Roman"/>
          <w:szCs w:val="24"/>
          <w:lang w:val="fr-FR" w:eastAsia="en-GB"/>
        </w:rPr>
        <w:t>’</w:t>
      </w:r>
      <w:r w:rsidR="00494F0D" w:rsidRPr="004618D5">
        <w:rPr>
          <w:rFonts w:ascii="Times New Roman" w:hAnsi="Times New Roman" w:cs="Times New Roman"/>
          <w:szCs w:val="24"/>
          <w:lang w:val="fr-FR" w:eastAsia="en-GB"/>
        </w:rPr>
        <w:t>orientation sexuelle des intéressés</w:t>
      </w:r>
      <w:r w:rsidR="00E037DE" w:rsidRPr="004618D5">
        <w:rPr>
          <w:rFonts w:ascii="Times New Roman" w:hAnsi="Times New Roman" w:cs="Times New Roman"/>
          <w:szCs w:val="24"/>
          <w:lang w:val="fr-FR" w:eastAsia="en-GB"/>
        </w:rPr>
        <w:t xml:space="preserve"> pour rendre sa décision</w:t>
      </w:r>
      <w:r w:rsidR="007B1D8F" w:rsidRPr="004618D5">
        <w:rPr>
          <w:rFonts w:ascii="Times New Roman" w:hAnsi="Times New Roman" w:cs="Times New Roman"/>
          <w:szCs w:val="24"/>
          <w:lang w:val="fr-FR" w:eastAsia="en-GB"/>
        </w:rPr>
        <w:t>,</w:t>
      </w:r>
      <w:r w:rsidR="00494F0D" w:rsidRPr="004618D5">
        <w:rPr>
          <w:rFonts w:ascii="Times New Roman" w:hAnsi="Times New Roman" w:cs="Times New Roman"/>
          <w:szCs w:val="24"/>
          <w:lang w:val="fr-FR" w:eastAsia="en-GB"/>
        </w:rPr>
        <w:t xml:space="preserve"> mais </w:t>
      </w:r>
      <w:r w:rsidR="00E037DE" w:rsidRPr="004618D5">
        <w:rPr>
          <w:rFonts w:ascii="Times New Roman" w:hAnsi="Times New Roman" w:cs="Times New Roman"/>
          <w:szCs w:val="24"/>
          <w:lang w:val="fr-FR" w:eastAsia="en-GB"/>
        </w:rPr>
        <w:t>qu</w:t>
      </w:r>
      <w:r w:rsidR="004618D5" w:rsidRPr="004618D5">
        <w:rPr>
          <w:rFonts w:ascii="Times New Roman" w:hAnsi="Times New Roman" w:cs="Times New Roman"/>
          <w:szCs w:val="24"/>
          <w:lang w:val="fr-FR" w:eastAsia="en-GB"/>
        </w:rPr>
        <w:t>’</w:t>
      </w:r>
      <w:r w:rsidR="00E037DE" w:rsidRPr="004618D5">
        <w:rPr>
          <w:rFonts w:ascii="Times New Roman" w:hAnsi="Times New Roman" w:cs="Times New Roman"/>
          <w:szCs w:val="24"/>
          <w:lang w:val="fr-FR" w:eastAsia="en-GB"/>
        </w:rPr>
        <w:t xml:space="preserve">elle a pris en compte </w:t>
      </w:r>
      <w:r w:rsidR="00494F0D" w:rsidRPr="004618D5">
        <w:rPr>
          <w:rFonts w:ascii="Times New Roman" w:hAnsi="Times New Roman" w:cs="Times New Roman"/>
          <w:szCs w:val="24"/>
          <w:lang w:val="fr-FR" w:eastAsia="en-GB"/>
        </w:rPr>
        <w:t>uniquement la loi italienne en matière d</w:t>
      </w:r>
      <w:r w:rsidR="004618D5" w:rsidRPr="004618D5">
        <w:rPr>
          <w:rFonts w:ascii="Times New Roman" w:hAnsi="Times New Roman" w:cs="Times New Roman"/>
          <w:szCs w:val="24"/>
          <w:lang w:val="fr-FR" w:eastAsia="en-GB"/>
        </w:rPr>
        <w:t>’</w:t>
      </w:r>
      <w:r w:rsidR="00494F0D" w:rsidRPr="004618D5">
        <w:rPr>
          <w:rFonts w:ascii="Times New Roman" w:hAnsi="Times New Roman" w:cs="Times New Roman"/>
          <w:szCs w:val="24"/>
          <w:lang w:val="fr-FR" w:eastAsia="en-GB"/>
        </w:rPr>
        <w:t>immigration telle que modifiée par les dispositions européennes</w:t>
      </w:r>
      <w:r w:rsidR="00333674" w:rsidRPr="004618D5">
        <w:rPr>
          <w:rFonts w:ascii="Times New Roman" w:hAnsi="Times New Roman" w:cs="Times New Roman"/>
          <w:szCs w:val="24"/>
          <w:lang w:val="fr-FR" w:eastAsia="en-GB"/>
        </w:rPr>
        <w:t xml:space="preserve"> pertinentes</w:t>
      </w:r>
      <w:r w:rsidR="00494F0D" w:rsidRPr="004618D5">
        <w:rPr>
          <w:rFonts w:ascii="Times New Roman" w:hAnsi="Times New Roman" w:cs="Times New Roman"/>
          <w:szCs w:val="24"/>
          <w:lang w:val="fr-FR" w:eastAsia="en-GB"/>
        </w:rPr>
        <w:t>.</w:t>
      </w:r>
    </w:p>
    <w:p w:rsidR="00CF7C0A" w:rsidRPr="004618D5" w:rsidRDefault="00494F0D" w:rsidP="004618D5">
      <w:pPr>
        <w:pStyle w:val="ECHRPara"/>
        <w:rPr>
          <w:rFonts w:ascii="Times New Roman" w:hAnsi="Times New Roman" w:cs="Times New Roman"/>
          <w:szCs w:val="24"/>
          <w:lang w:val="fr-FR"/>
        </w:rPr>
      </w:pPr>
      <w:r w:rsidRPr="004618D5">
        <w:rPr>
          <w:rFonts w:ascii="Times New Roman" w:hAnsi="Times New Roman" w:cs="Times New Roman"/>
          <w:szCs w:val="24"/>
          <w:lang w:val="fr-FR"/>
        </w:rPr>
        <w:fldChar w:fldCharType="begin"/>
      </w:r>
      <w:r w:rsidRPr="004618D5">
        <w:rPr>
          <w:rFonts w:ascii="Times New Roman" w:hAnsi="Times New Roman" w:cs="Times New Roman"/>
          <w:szCs w:val="24"/>
          <w:lang w:val="fr-FR"/>
        </w:rPr>
        <w:instrText xml:space="preserve"> SEQ level0 \*arabic </w:instrText>
      </w:r>
      <w:r w:rsidRPr="004618D5">
        <w:rPr>
          <w:rFonts w:ascii="Times New Roman" w:hAnsi="Times New Roman" w:cs="Times New Roman"/>
          <w:szCs w:val="24"/>
          <w:lang w:val="fr-FR"/>
        </w:rPr>
        <w:fldChar w:fldCharType="separate"/>
      </w:r>
      <w:r w:rsidR="004618D5" w:rsidRPr="004618D5">
        <w:rPr>
          <w:rFonts w:ascii="Times New Roman" w:hAnsi="Times New Roman" w:cs="Times New Roman"/>
          <w:noProof/>
          <w:szCs w:val="24"/>
          <w:lang w:val="fr-FR"/>
        </w:rPr>
        <w:t>67</w:t>
      </w:r>
      <w:r w:rsidRPr="004618D5">
        <w:rPr>
          <w:rFonts w:ascii="Times New Roman" w:hAnsi="Times New Roman" w:cs="Times New Roman"/>
          <w:szCs w:val="24"/>
          <w:lang w:val="fr-FR"/>
        </w:rPr>
        <w:fldChar w:fldCharType="end"/>
      </w:r>
      <w:r w:rsidRPr="004618D5">
        <w:rPr>
          <w:rFonts w:ascii="Times New Roman" w:hAnsi="Times New Roman" w:cs="Times New Roman"/>
          <w:szCs w:val="24"/>
          <w:lang w:val="fr-FR"/>
        </w:rPr>
        <w:t>.  </w:t>
      </w:r>
      <w:r w:rsidR="007B1D8F" w:rsidRPr="004618D5">
        <w:rPr>
          <w:rFonts w:ascii="Times New Roman" w:hAnsi="Times New Roman" w:cs="Times New Roman"/>
          <w:szCs w:val="24"/>
          <w:lang w:val="fr-FR"/>
        </w:rPr>
        <w:t xml:space="preserve">Enfin, le </w:t>
      </w:r>
      <w:r w:rsidRPr="004618D5">
        <w:rPr>
          <w:rFonts w:ascii="Times New Roman" w:hAnsi="Times New Roman" w:cs="Times New Roman"/>
          <w:szCs w:val="24"/>
          <w:lang w:val="fr-FR"/>
        </w:rPr>
        <w:t xml:space="preserve">Gouvernement </w:t>
      </w:r>
      <w:r w:rsidR="007B1D8F" w:rsidRPr="004618D5">
        <w:rPr>
          <w:rFonts w:ascii="Times New Roman" w:hAnsi="Times New Roman" w:cs="Times New Roman"/>
          <w:szCs w:val="24"/>
          <w:lang w:val="fr-FR"/>
        </w:rPr>
        <w:t>tient à confirmer</w:t>
      </w:r>
      <w:r w:rsidR="00602BC3" w:rsidRPr="004618D5">
        <w:rPr>
          <w:rFonts w:ascii="Times New Roman" w:hAnsi="Times New Roman" w:cs="Times New Roman"/>
          <w:szCs w:val="24"/>
          <w:lang w:val="fr-FR"/>
        </w:rPr>
        <w:t xml:space="preserve"> </w:t>
      </w:r>
      <w:r w:rsidRPr="004618D5">
        <w:rPr>
          <w:rFonts w:ascii="Times New Roman" w:hAnsi="Times New Roman" w:cs="Times New Roman"/>
          <w:szCs w:val="24"/>
          <w:lang w:val="fr-FR"/>
        </w:rPr>
        <w:t xml:space="preserve">son engagement </w:t>
      </w:r>
      <w:r w:rsidR="007B1D8F" w:rsidRPr="004618D5">
        <w:rPr>
          <w:rFonts w:ascii="Times New Roman" w:hAnsi="Times New Roman" w:cs="Times New Roman"/>
          <w:szCs w:val="24"/>
          <w:lang w:val="fr-FR"/>
        </w:rPr>
        <w:t xml:space="preserve">en faveur de </w:t>
      </w:r>
      <w:r w:rsidRPr="004618D5">
        <w:rPr>
          <w:rFonts w:ascii="Times New Roman" w:hAnsi="Times New Roman" w:cs="Times New Roman"/>
          <w:szCs w:val="24"/>
          <w:lang w:val="fr-FR"/>
        </w:rPr>
        <w:t xml:space="preserve">la protection des personnes </w:t>
      </w:r>
      <w:r w:rsidR="00E037DE" w:rsidRPr="004618D5">
        <w:rPr>
          <w:rFonts w:ascii="Times New Roman" w:hAnsi="Times New Roman" w:cs="Times New Roman"/>
          <w:szCs w:val="24"/>
          <w:lang w:val="fr-FR"/>
        </w:rPr>
        <w:t>lesbiennes, gays, bisexuelles et transgenres (</w:t>
      </w:r>
      <w:r w:rsidRPr="004618D5">
        <w:rPr>
          <w:rFonts w:ascii="Times New Roman" w:hAnsi="Times New Roman" w:cs="Times New Roman"/>
          <w:szCs w:val="24"/>
          <w:lang w:val="fr-FR"/>
        </w:rPr>
        <w:t>LGBT</w:t>
      </w:r>
      <w:r w:rsidR="00E037DE" w:rsidRPr="004618D5">
        <w:rPr>
          <w:rFonts w:ascii="Times New Roman" w:hAnsi="Times New Roman" w:cs="Times New Roman"/>
          <w:szCs w:val="24"/>
          <w:lang w:val="fr-FR"/>
        </w:rPr>
        <w:t>)</w:t>
      </w:r>
      <w:r w:rsidR="007B1D8F" w:rsidRPr="004618D5">
        <w:rPr>
          <w:rFonts w:ascii="Times New Roman" w:hAnsi="Times New Roman" w:cs="Times New Roman"/>
          <w:szCs w:val="24"/>
          <w:lang w:val="fr-FR"/>
        </w:rPr>
        <w:t xml:space="preserve"> et </w:t>
      </w:r>
      <w:r w:rsidRPr="004618D5">
        <w:rPr>
          <w:rFonts w:ascii="Times New Roman" w:hAnsi="Times New Roman" w:cs="Times New Roman"/>
          <w:szCs w:val="24"/>
          <w:lang w:val="fr-FR"/>
        </w:rPr>
        <w:t>contre l</w:t>
      </w:r>
      <w:r w:rsidR="004618D5" w:rsidRPr="004618D5">
        <w:rPr>
          <w:rFonts w:ascii="Times New Roman" w:hAnsi="Times New Roman" w:cs="Times New Roman"/>
          <w:szCs w:val="24"/>
          <w:lang w:val="fr-FR"/>
        </w:rPr>
        <w:t>’</w:t>
      </w:r>
      <w:r w:rsidRPr="004618D5">
        <w:rPr>
          <w:rFonts w:ascii="Times New Roman" w:hAnsi="Times New Roman" w:cs="Times New Roman"/>
          <w:szCs w:val="24"/>
          <w:lang w:val="fr-FR"/>
        </w:rPr>
        <w:t>homophobie</w:t>
      </w:r>
      <w:r w:rsidR="00692E21" w:rsidRPr="004618D5">
        <w:rPr>
          <w:rFonts w:ascii="Times New Roman" w:hAnsi="Times New Roman" w:cs="Times New Roman"/>
          <w:szCs w:val="24"/>
          <w:lang w:val="fr-FR"/>
        </w:rPr>
        <w:t>, qui a</w:t>
      </w:r>
      <w:r w:rsidR="007B1D8F" w:rsidRPr="004618D5">
        <w:rPr>
          <w:rFonts w:ascii="Times New Roman" w:hAnsi="Times New Roman" w:cs="Times New Roman"/>
          <w:szCs w:val="24"/>
          <w:lang w:val="fr-FR"/>
        </w:rPr>
        <w:t>urait</w:t>
      </w:r>
      <w:r w:rsidR="00692E21" w:rsidRPr="004618D5">
        <w:rPr>
          <w:rFonts w:ascii="Times New Roman" w:hAnsi="Times New Roman" w:cs="Times New Roman"/>
          <w:szCs w:val="24"/>
          <w:lang w:val="fr-FR"/>
        </w:rPr>
        <w:t xml:space="preserve"> conduit à la création du Bureau national contre les discriminations raciales (UNAR – </w:t>
      </w:r>
      <w:r w:rsidR="00692E21" w:rsidRPr="004618D5">
        <w:rPr>
          <w:rFonts w:ascii="Times New Roman" w:hAnsi="Times New Roman" w:cs="Times New Roman"/>
          <w:i/>
          <w:szCs w:val="24"/>
          <w:lang w:val="fr-FR"/>
        </w:rPr>
        <w:t>Ufficio Nazionale Antidiscriminazioni Razziali</w:t>
      </w:r>
      <w:r w:rsidR="00692E21" w:rsidRPr="004618D5">
        <w:rPr>
          <w:rFonts w:ascii="Times New Roman" w:hAnsi="Times New Roman" w:cs="Times New Roman"/>
          <w:szCs w:val="24"/>
          <w:lang w:val="fr-FR"/>
        </w:rPr>
        <w:t>)</w:t>
      </w:r>
      <w:r w:rsidRPr="004618D5">
        <w:rPr>
          <w:rFonts w:ascii="Times New Roman" w:hAnsi="Times New Roman" w:cs="Times New Roman"/>
          <w:szCs w:val="24"/>
          <w:lang w:val="fr-FR"/>
        </w:rPr>
        <w:t>.</w:t>
      </w:r>
      <w:r w:rsidR="00692E21" w:rsidRPr="004618D5">
        <w:rPr>
          <w:rFonts w:ascii="Times New Roman" w:hAnsi="Times New Roman" w:cs="Times New Roman"/>
          <w:szCs w:val="24"/>
          <w:lang w:val="fr-FR"/>
        </w:rPr>
        <w:t xml:space="preserve"> </w:t>
      </w:r>
      <w:r w:rsidR="00816BE4" w:rsidRPr="004618D5">
        <w:rPr>
          <w:rFonts w:ascii="Times New Roman" w:hAnsi="Times New Roman" w:cs="Times New Roman"/>
          <w:szCs w:val="24"/>
          <w:lang w:val="fr-FR"/>
        </w:rPr>
        <w:t>Il ajoute que c</w:t>
      </w:r>
      <w:r w:rsidR="00333674" w:rsidRPr="004618D5">
        <w:rPr>
          <w:rFonts w:ascii="Times New Roman" w:hAnsi="Times New Roman" w:cs="Times New Roman"/>
          <w:szCs w:val="24"/>
          <w:lang w:val="fr-FR"/>
        </w:rPr>
        <w:t xml:space="preserve">et organe </w:t>
      </w:r>
      <w:r w:rsidRPr="004618D5">
        <w:rPr>
          <w:rFonts w:ascii="Times New Roman" w:hAnsi="Times New Roman" w:cs="Times New Roman"/>
          <w:szCs w:val="24"/>
          <w:lang w:val="fr-FR"/>
        </w:rPr>
        <w:t xml:space="preserve">a été </w:t>
      </w:r>
      <w:r w:rsidR="00333674" w:rsidRPr="004618D5">
        <w:rPr>
          <w:rFonts w:ascii="Times New Roman" w:hAnsi="Times New Roman" w:cs="Times New Roman"/>
          <w:szCs w:val="24"/>
          <w:lang w:val="fr-FR"/>
        </w:rPr>
        <w:t xml:space="preserve">accueilli </w:t>
      </w:r>
      <w:r w:rsidR="00333674" w:rsidRPr="004618D5">
        <w:rPr>
          <w:rFonts w:ascii="Times New Roman" w:hAnsi="Times New Roman" w:cs="Times New Roman"/>
          <w:szCs w:val="24"/>
          <w:lang w:val="fr-FR"/>
        </w:rPr>
        <w:lastRenderedPageBreak/>
        <w:t>favorablement</w:t>
      </w:r>
      <w:r w:rsidRPr="004618D5">
        <w:rPr>
          <w:rFonts w:ascii="Times New Roman" w:hAnsi="Times New Roman" w:cs="Times New Roman"/>
          <w:szCs w:val="24"/>
          <w:lang w:val="fr-FR"/>
        </w:rPr>
        <w:t xml:space="preserve"> par la Commission européenne contre le racisme </w:t>
      </w:r>
      <w:r w:rsidR="00DF77A4" w:rsidRPr="004618D5">
        <w:rPr>
          <w:rFonts w:ascii="Times New Roman" w:hAnsi="Times New Roman" w:cs="Times New Roman"/>
          <w:szCs w:val="24"/>
          <w:lang w:val="fr-FR"/>
        </w:rPr>
        <w:t>et l</w:t>
      </w:r>
      <w:r w:rsidR="004618D5" w:rsidRPr="004618D5">
        <w:rPr>
          <w:rFonts w:ascii="Times New Roman" w:hAnsi="Times New Roman" w:cs="Times New Roman"/>
          <w:szCs w:val="24"/>
          <w:lang w:val="fr-FR"/>
        </w:rPr>
        <w:t>’</w:t>
      </w:r>
      <w:r w:rsidR="00DF77A4" w:rsidRPr="004618D5">
        <w:rPr>
          <w:rFonts w:ascii="Times New Roman" w:hAnsi="Times New Roman" w:cs="Times New Roman"/>
          <w:szCs w:val="24"/>
          <w:lang w:val="fr-FR"/>
        </w:rPr>
        <w:t>intolérance (ECRI</w:t>
      </w:r>
      <w:r w:rsidR="00E037DE" w:rsidRPr="004618D5">
        <w:rPr>
          <w:rFonts w:ascii="Times New Roman" w:hAnsi="Times New Roman" w:cs="Times New Roman"/>
          <w:szCs w:val="24"/>
          <w:lang w:val="fr-FR"/>
        </w:rPr>
        <w:t>)</w:t>
      </w:r>
      <w:r w:rsidR="00DF77A4" w:rsidRPr="004618D5">
        <w:rPr>
          <w:rFonts w:ascii="Times New Roman" w:hAnsi="Times New Roman" w:cs="Times New Roman"/>
          <w:szCs w:val="24"/>
          <w:lang w:val="fr-FR"/>
        </w:rPr>
        <w:t xml:space="preserve"> – voir le</w:t>
      </w:r>
      <w:r w:rsidRPr="004618D5">
        <w:rPr>
          <w:rFonts w:ascii="Times New Roman" w:hAnsi="Times New Roman" w:cs="Times New Roman"/>
          <w:szCs w:val="24"/>
          <w:lang w:val="fr-FR"/>
        </w:rPr>
        <w:t xml:space="preserve"> rapport </w:t>
      </w:r>
      <w:r w:rsidR="006000DC" w:rsidRPr="004618D5">
        <w:rPr>
          <w:rFonts w:ascii="Times New Roman" w:hAnsi="Times New Roman" w:cs="Times New Roman"/>
          <w:szCs w:val="24"/>
          <w:lang w:val="fr-FR"/>
        </w:rPr>
        <w:t>sur l</w:t>
      </w:r>
      <w:r w:rsidR="004618D5" w:rsidRPr="004618D5">
        <w:rPr>
          <w:rFonts w:ascii="Times New Roman" w:hAnsi="Times New Roman" w:cs="Times New Roman"/>
          <w:szCs w:val="24"/>
          <w:lang w:val="fr-FR"/>
        </w:rPr>
        <w:t>’</w:t>
      </w:r>
      <w:r w:rsidR="006000DC" w:rsidRPr="004618D5">
        <w:rPr>
          <w:rFonts w:ascii="Times New Roman" w:hAnsi="Times New Roman" w:cs="Times New Roman"/>
          <w:szCs w:val="24"/>
          <w:lang w:val="fr-FR"/>
        </w:rPr>
        <w:t xml:space="preserve">Italie publié le 21 avril </w:t>
      </w:r>
      <w:r w:rsidRPr="004618D5">
        <w:rPr>
          <w:rFonts w:ascii="Times New Roman" w:hAnsi="Times New Roman" w:cs="Times New Roman"/>
          <w:szCs w:val="24"/>
          <w:lang w:val="fr-FR"/>
        </w:rPr>
        <w:t>2012</w:t>
      </w:r>
      <w:r w:rsidR="00DF77A4" w:rsidRPr="004618D5">
        <w:rPr>
          <w:rFonts w:ascii="Times New Roman" w:hAnsi="Times New Roman" w:cs="Times New Roman"/>
          <w:szCs w:val="24"/>
          <w:lang w:val="fr-FR"/>
        </w:rPr>
        <w:t xml:space="preserve"> </w:t>
      </w:r>
      <w:r w:rsidR="00E037DE" w:rsidRPr="004618D5">
        <w:rPr>
          <w:rFonts w:ascii="Times New Roman" w:hAnsi="Times New Roman" w:cs="Times New Roman"/>
          <w:szCs w:val="24"/>
          <w:lang w:val="fr-FR"/>
        </w:rPr>
        <w:t>(</w:t>
      </w:r>
      <w:r w:rsidR="006000DC" w:rsidRPr="004618D5">
        <w:rPr>
          <w:rFonts w:ascii="Times New Roman" w:eastAsiaTheme="minorHAnsi" w:hAnsi="Times New Roman" w:cs="Times New Roman"/>
          <w:szCs w:val="24"/>
          <w:lang w:val="fr-FR"/>
        </w:rPr>
        <w:t>CRI(2012)2)</w:t>
      </w:r>
      <w:r w:rsidRPr="004618D5">
        <w:rPr>
          <w:rFonts w:ascii="Times New Roman" w:hAnsi="Times New Roman" w:cs="Times New Roman"/>
          <w:szCs w:val="24"/>
          <w:lang w:val="fr-FR"/>
        </w:rPr>
        <w:t xml:space="preserve"> </w:t>
      </w:r>
      <w:r w:rsidR="00E037DE" w:rsidRPr="004618D5">
        <w:rPr>
          <w:rFonts w:ascii="Times New Roman" w:hAnsi="Times New Roman" w:cs="Times New Roman"/>
          <w:szCs w:val="24"/>
          <w:lang w:val="fr-FR"/>
        </w:rPr>
        <w:t xml:space="preserve">– </w:t>
      </w:r>
      <w:r w:rsidRPr="004618D5">
        <w:rPr>
          <w:rFonts w:ascii="Times New Roman" w:hAnsi="Times New Roman" w:cs="Times New Roman"/>
          <w:szCs w:val="24"/>
          <w:lang w:val="fr-FR"/>
        </w:rPr>
        <w:t>et par le Commissaire</w:t>
      </w:r>
      <w:r w:rsidR="00DF77A4" w:rsidRPr="004618D5">
        <w:rPr>
          <w:rFonts w:ascii="Times New Roman" w:hAnsi="Times New Roman" w:cs="Times New Roman"/>
          <w:szCs w:val="24"/>
          <w:lang w:val="fr-FR"/>
        </w:rPr>
        <w:t xml:space="preserve"> aux droits de l</w:t>
      </w:r>
      <w:r w:rsidR="004618D5" w:rsidRPr="004618D5">
        <w:rPr>
          <w:rFonts w:ascii="Times New Roman" w:hAnsi="Times New Roman" w:cs="Times New Roman"/>
          <w:szCs w:val="24"/>
          <w:lang w:val="fr-FR"/>
        </w:rPr>
        <w:t>’</w:t>
      </w:r>
      <w:r w:rsidR="00DF77A4" w:rsidRPr="004618D5">
        <w:rPr>
          <w:rFonts w:ascii="Times New Roman" w:hAnsi="Times New Roman" w:cs="Times New Roman"/>
          <w:szCs w:val="24"/>
          <w:lang w:val="fr-FR"/>
        </w:rPr>
        <w:t>homme (voir le</w:t>
      </w:r>
      <w:r w:rsidR="00404D4E" w:rsidRPr="004618D5">
        <w:rPr>
          <w:rFonts w:ascii="Times New Roman" w:hAnsi="Times New Roman" w:cs="Times New Roman"/>
          <w:szCs w:val="24"/>
          <w:lang w:val="fr-FR"/>
        </w:rPr>
        <w:t xml:space="preserve"> </w:t>
      </w:r>
      <w:r w:rsidRPr="004618D5">
        <w:rPr>
          <w:rFonts w:ascii="Times New Roman" w:hAnsi="Times New Roman" w:cs="Times New Roman"/>
          <w:szCs w:val="24"/>
          <w:lang w:val="fr-FR"/>
        </w:rPr>
        <w:t xml:space="preserve">rapport </w:t>
      </w:r>
      <w:r w:rsidR="00DF77A4" w:rsidRPr="004618D5">
        <w:rPr>
          <w:rFonts w:ascii="Times New Roman" w:hAnsi="Times New Roman" w:cs="Times New Roman"/>
          <w:szCs w:val="24"/>
          <w:lang w:val="fr-FR"/>
        </w:rPr>
        <w:t xml:space="preserve">du 18 septembre 2012, </w:t>
      </w:r>
      <w:r w:rsidR="00DF77A4" w:rsidRPr="004618D5">
        <w:rPr>
          <w:rFonts w:ascii="Times New Roman" w:eastAsiaTheme="minorHAnsi" w:hAnsi="Times New Roman" w:cs="Times New Roman"/>
          <w:szCs w:val="24"/>
          <w:lang w:val="fr-FR"/>
        </w:rPr>
        <w:t xml:space="preserve">CommDH(2012)26, </w:t>
      </w:r>
      <w:r w:rsidRPr="004618D5">
        <w:rPr>
          <w:rFonts w:ascii="Times New Roman" w:hAnsi="Times New Roman" w:cs="Times New Roman"/>
          <w:szCs w:val="24"/>
          <w:lang w:val="fr-FR"/>
        </w:rPr>
        <w:t>relati</w:t>
      </w:r>
      <w:r w:rsidR="006000DC" w:rsidRPr="004618D5">
        <w:rPr>
          <w:rFonts w:ascii="Times New Roman" w:hAnsi="Times New Roman" w:cs="Times New Roman"/>
          <w:szCs w:val="24"/>
          <w:lang w:val="fr-FR"/>
        </w:rPr>
        <w:t>f</w:t>
      </w:r>
      <w:r w:rsidRPr="004618D5">
        <w:rPr>
          <w:rFonts w:ascii="Times New Roman" w:hAnsi="Times New Roman" w:cs="Times New Roman"/>
          <w:szCs w:val="24"/>
          <w:lang w:val="fr-FR"/>
        </w:rPr>
        <w:t xml:space="preserve"> à</w:t>
      </w:r>
      <w:r w:rsidR="00DF77A4" w:rsidRPr="004618D5">
        <w:rPr>
          <w:rFonts w:ascii="Times New Roman" w:hAnsi="Times New Roman" w:cs="Times New Roman"/>
          <w:szCs w:val="24"/>
          <w:lang w:val="fr-FR"/>
        </w:rPr>
        <w:t xml:space="preserve"> </w:t>
      </w:r>
      <w:r w:rsidR="007B1D8F" w:rsidRPr="004618D5">
        <w:rPr>
          <w:rFonts w:ascii="Times New Roman" w:hAnsi="Times New Roman" w:cs="Times New Roman"/>
          <w:szCs w:val="24"/>
          <w:lang w:val="fr-FR"/>
        </w:rPr>
        <w:t>l</w:t>
      </w:r>
      <w:r w:rsidRPr="004618D5">
        <w:rPr>
          <w:rFonts w:ascii="Times New Roman" w:hAnsi="Times New Roman" w:cs="Times New Roman"/>
          <w:szCs w:val="24"/>
          <w:lang w:val="fr-FR"/>
        </w:rPr>
        <w:t xml:space="preserve">a visite </w:t>
      </w:r>
      <w:r w:rsidR="007B1D8F" w:rsidRPr="004618D5">
        <w:rPr>
          <w:rFonts w:ascii="Times New Roman" w:hAnsi="Times New Roman" w:cs="Times New Roman"/>
          <w:szCs w:val="24"/>
          <w:lang w:val="fr-FR"/>
        </w:rPr>
        <w:t xml:space="preserve">du Commissaire </w:t>
      </w:r>
      <w:r w:rsidRPr="004618D5">
        <w:rPr>
          <w:rFonts w:ascii="Times New Roman" w:hAnsi="Times New Roman" w:cs="Times New Roman"/>
          <w:szCs w:val="24"/>
          <w:lang w:val="fr-FR"/>
        </w:rPr>
        <w:t>en Italie du 3 au 6</w:t>
      </w:r>
      <w:r w:rsidR="006000DC" w:rsidRPr="004618D5">
        <w:rPr>
          <w:rFonts w:ascii="Times New Roman" w:hAnsi="Times New Roman" w:cs="Times New Roman"/>
          <w:szCs w:val="24"/>
          <w:lang w:val="fr-FR"/>
        </w:rPr>
        <w:t> </w:t>
      </w:r>
      <w:r w:rsidR="00DF77A4" w:rsidRPr="004618D5">
        <w:rPr>
          <w:rFonts w:ascii="Times New Roman" w:hAnsi="Times New Roman" w:cs="Times New Roman"/>
          <w:szCs w:val="24"/>
          <w:lang w:val="fr-FR"/>
        </w:rPr>
        <w:t>juillet 2012).</w:t>
      </w:r>
    </w:p>
    <w:p w:rsidR="00310392" w:rsidRPr="004618D5" w:rsidRDefault="00C92B5D" w:rsidP="004618D5">
      <w:pPr>
        <w:pStyle w:val="ECHRHeading5"/>
        <w:rPr>
          <w:lang w:val="fr-FR"/>
        </w:rPr>
      </w:pPr>
      <w:r w:rsidRPr="004618D5">
        <w:rPr>
          <w:lang w:val="fr-FR"/>
        </w:rPr>
        <w:t>ii.</w:t>
      </w:r>
      <w:r w:rsidR="00310392" w:rsidRPr="004618D5">
        <w:rPr>
          <w:lang w:val="fr-FR"/>
        </w:rPr>
        <w:t>  Les requérants</w:t>
      </w:r>
    </w:p>
    <w:p w:rsidR="00E65593" w:rsidRPr="004618D5" w:rsidRDefault="00911788" w:rsidP="004618D5">
      <w:pPr>
        <w:pStyle w:val="ECHRPara"/>
        <w:rPr>
          <w:lang w:val="fr-FR"/>
        </w:rPr>
      </w:pPr>
      <w:r w:rsidRPr="004618D5">
        <w:rPr>
          <w:rStyle w:val="Enfasigrassetto"/>
          <w:b w:val="0"/>
          <w:bCs w:val="0"/>
          <w:lang w:val="fr-FR"/>
        </w:rPr>
        <w:fldChar w:fldCharType="begin"/>
      </w:r>
      <w:r w:rsidRPr="004618D5">
        <w:rPr>
          <w:rStyle w:val="Enfasigrassetto"/>
          <w:b w:val="0"/>
          <w:bCs w:val="0"/>
          <w:lang w:val="fr-FR"/>
        </w:rPr>
        <w:instrText xml:space="preserve"> SEQ level0 \*arabic </w:instrText>
      </w:r>
      <w:r w:rsidRPr="004618D5">
        <w:rPr>
          <w:rStyle w:val="Enfasigrassetto"/>
          <w:b w:val="0"/>
          <w:bCs w:val="0"/>
          <w:lang w:val="fr-FR"/>
        </w:rPr>
        <w:fldChar w:fldCharType="separate"/>
      </w:r>
      <w:r w:rsidR="004618D5" w:rsidRPr="004618D5">
        <w:rPr>
          <w:rStyle w:val="Enfasigrassetto"/>
          <w:b w:val="0"/>
          <w:bCs w:val="0"/>
          <w:noProof/>
          <w:lang w:val="fr-FR"/>
        </w:rPr>
        <w:t>68</w:t>
      </w:r>
      <w:r w:rsidRPr="004618D5">
        <w:rPr>
          <w:rStyle w:val="Enfasigrassetto"/>
          <w:b w:val="0"/>
          <w:bCs w:val="0"/>
          <w:lang w:val="fr-FR"/>
        </w:rPr>
        <w:fldChar w:fldCharType="end"/>
      </w:r>
      <w:r w:rsidRPr="004618D5">
        <w:rPr>
          <w:rStyle w:val="Enfasigrassetto"/>
          <w:b w:val="0"/>
          <w:bCs w:val="0"/>
          <w:lang w:val="fr-FR"/>
        </w:rPr>
        <w:t xml:space="preserve">.  Les requérants </w:t>
      </w:r>
      <w:r w:rsidR="00E65593" w:rsidRPr="004618D5">
        <w:rPr>
          <w:rStyle w:val="Enfasigrassetto"/>
          <w:b w:val="0"/>
          <w:bCs w:val="0"/>
          <w:lang w:val="fr-FR"/>
        </w:rPr>
        <w:t>soutiennent avoir été victimes d</w:t>
      </w:r>
      <w:r w:rsidR="004618D5" w:rsidRPr="004618D5">
        <w:rPr>
          <w:rStyle w:val="Enfasigrassetto"/>
          <w:b w:val="0"/>
          <w:bCs w:val="0"/>
          <w:lang w:val="fr-FR"/>
        </w:rPr>
        <w:t>’</w:t>
      </w:r>
      <w:r w:rsidR="00E65593" w:rsidRPr="004618D5">
        <w:rPr>
          <w:rStyle w:val="Enfasigrassetto"/>
          <w:b w:val="0"/>
          <w:bCs w:val="0"/>
          <w:lang w:val="fr-FR"/>
        </w:rPr>
        <w:t xml:space="preserve">une discrimination fondée sur leur orientation sexuelle. </w:t>
      </w:r>
      <w:r w:rsidR="007B1D8F" w:rsidRPr="004618D5">
        <w:rPr>
          <w:rStyle w:val="Enfasigrassetto"/>
          <w:b w:val="0"/>
          <w:bCs w:val="0"/>
          <w:lang w:val="fr-FR"/>
        </w:rPr>
        <w:t>Se référant à</w:t>
      </w:r>
      <w:r w:rsidR="00E65593" w:rsidRPr="004618D5">
        <w:rPr>
          <w:lang w:val="fr-FR"/>
        </w:rPr>
        <w:t xml:space="preserve"> l</w:t>
      </w:r>
      <w:r w:rsidR="004618D5" w:rsidRPr="004618D5">
        <w:rPr>
          <w:lang w:val="fr-FR"/>
        </w:rPr>
        <w:t>’</w:t>
      </w:r>
      <w:r w:rsidR="00E65593" w:rsidRPr="004618D5">
        <w:rPr>
          <w:lang w:val="fr-FR"/>
        </w:rPr>
        <w:t xml:space="preserve">arrêt </w:t>
      </w:r>
      <w:r w:rsidR="00E65593" w:rsidRPr="004618D5">
        <w:rPr>
          <w:i/>
          <w:lang w:val="fr-FR"/>
        </w:rPr>
        <w:t>Schalk et Kopf</w:t>
      </w:r>
      <w:r w:rsidR="00E65593" w:rsidRPr="004618D5">
        <w:rPr>
          <w:lang w:val="fr-FR"/>
        </w:rPr>
        <w:t xml:space="preserve"> (</w:t>
      </w:r>
      <w:r w:rsidR="00E037DE" w:rsidRPr="004618D5">
        <w:rPr>
          <w:lang w:val="fr-FR"/>
        </w:rPr>
        <w:t xml:space="preserve">précité, </w:t>
      </w:r>
      <w:r w:rsidR="00E65593" w:rsidRPr="004618D5">
        <w:rPr>
          <w:lang w:val="fr-FR"/>
        </w:rPr>
        <w:t xml:space="preserve">§ 103), </w:t>
      </w:r>
      <w:r w:rsidR="007B1D8F" w:rsidRPr="004618D5">
        <w:rPr>
          <w:lang w:val="fr-FR"/>
        </w:rPr>
        <w:t xml:space="preserve">dans lequel </w:t>
      </w:r>
      <w:r w:rsidR="00E65593" w:rsidRPr="004618D5">
        <w:rPr>
          <w:lang w:val="fr-FR"/>
        </w:rPr>
        <w:t xml:space="preserve">la Cour </w:t>
      </w:r>
      <w:r w:rsidR="007B1D8F" w:rsidRPr="004618D5">
        <w:rPr>
          <w:lang w:val="fr-FR"/>
        </w:rPr>
        <w:t>aurait</w:t>
      </w:r>
      <w:r w:rsidR="00E65593" w:rsidRPr="004618D5">
        <w:rPr>
          <w:lang w:val="fr-FR"/>
        </w:rPr>
        <w:t xml:space="preserve"> estimé </w:t>
      </w:r>
      <w:r w:rsidR="007B1D8F" w:rsidRPr="004618D5">
        <w:rPr>
          <w:lang w:val="fr-FR"/>
        </w:rPr>
        <w:t>qu</w:t>
      </w:r>
      <w:r w:rsidR="004618D5" w:rsidRPr="004618D5">
        <w:rPr>
          <w:lang w:val="fr-FR"/>
        </w:rPr>
        <w:t>’</w:t>
      </w:r>
      <w:r w:rsidR="007B1D8F" w:rsidRPr="004618D5">
        <w:rPr>
          <w:lang w:val="fr-FR"/>
        </w:rPr>
        <w:t>il n</w:t>
      </w:r>
      <w:r w:rsidR="004618D5" w:rsidRPr="004618D5">
        <w:rPr>
          <w:lang w:val="fr-FR"/>
        </w:rPr>
        <w:t>’</w:t>
      </w:r>
      <w:r w:rsidR="007B1D8F" w:rsidRPr="004618D5">
        <w:rPr>
          <w:lang w:val="fr-FR"/>
        </w:rPr>
        <w:t xml:space="preserve">était pas </w:t>
      </w:r>
      <w:r w:rsidR="00E65593" w:rsidRPr="004618D5">
        <w:rPr>
          <w:lang w:val="fr-FR"/>
        </w:rPr>
        <w:t>nécessaire d</w:t>
      </w:r>
      <w:r w:rsidR="004618D5" w:rsidRPr="004618D5">
        <w:rPr>
          <w:lang w:val="fr-FR"/>
        </w:rPr>
        <w:t>’</w:t>
      </w:r>
      <w:r w:rsidR="00E65593" w:rsidRPr="004618D5">
        <w:rPr>
          <w:lang w:val="fr-FR"/>
        </w:rPr>
        <w:t>examiner la question de savoir si l</w:t>
      </w:r>
      <w:r w:rsidR="004618D5" w:rsidRPr="004618D5">
        <w:rPr>
          <w:lang w:val="fr-FR"/>
        </w:rPr>
        <w:t>’</w:t>
      </w:r>
      <w:r w:rsidR="00E65593" w:rsidRPr="004618D5">
        <w:rPr>
          <w:lang w:val="fr-FR"/>
        </w:rPr>
        <w:t>absence de reconnaissance juridique des couples homosexuels en Autriche avant le 1</w:t>
      </w:r>
      <w:r w:rsidR="00E65593" w:rsidRPr="004618D5">
        <w:rPr>
          <w:vertAlign w:val="superscript"/>
          <w:lang w:val="fr-FR"/>
        </w:rPr>
        <w:t>er</w:t>
      </w:r>
      <w:r w:rsidR="007526A2" w:rsidRPr="004618D5">
        <w:rPr>
          <w:lang w:val="fr-FR"/>
        </w:rPr>
        <w:t xml:space="preserve"> </w:t>
      </w:r>
      <w:r w:rsidR="00E65593" w:rsidRPr="004618D5">
        <w:rPr>
          <w:lang w:val="fr-FR"/>
        </w:rPr>
        <w:t>janvier 2010 avait emporté violation de l</w:t>
      </w:r>
      <w:r w:rsidR="004618D5" w:rsidRPr="004618D5">
        <w:rPr>
          <w:lang w:val="fr-FR"/>
        </w:rPr>
        <w:t>’</w:t>
      </w:r>
      <w:r w:rsidR="00E65593" w:rsidRPr="004618D5">
        <w:rPr>
          <w:lang w:val="fr-FR"/>
        </w:rPr>
        <w:t xml:space="preserve">article 14 </w:t>
      </w:r>
      <w:r w:rsidR="001E192E" w:rsidRPr="004618D5">
        <w:rPr>
          <w:lang w:val="fr-FR"/>
        </w:rPr>
        <w:t xml:space="preserve">de la Convention </w:t>
      </w:r>
      <w:r w:rsidR="00E65593" w:rsidRPr="004618D5">
        <w:rPr>
          <w:lang w:val="fr-FR"/>
        </w:rPr>
        <w:t>combiné avec l</w:t>
      </w:r>
      <w:r w:rsidR="004618D5" w:rsidRPr="004618D5">
        <w:rPr>
          <w:lang w:val="fr-FR"/>
        </w:rPr>
        <w:t>’</w:t>
      </w:r>
      <w:r w:rsidR="00E65593" w:rsidRPr="004618D5">
        <w:rPr>
          <w:lang w:val="fr-FR"/>
        </w:rPr>
        <w:t>article 8</w:t>
      </w:r>
      <w:r w:rsidR="007B1D8F" w:rsidRPr="004618D5">
        <w:rPr>
          <w:lang w:val="fr-FR"/>
        </w:rPr>
        <w:t>, i</w:t>
      </w:r>
      <w:r w:rsidR="00E037DE" w:rsidRPr="004618D5">
        <w:rPr>
          <w:lang w:val="fr-FR"/>
        </w:rPr>
        <w:t xml:space="preserve">ls </w:t>
      </w:r>
      <w:r w:rsidR="001E192E" w:rsidRPr="004618D5">
        <w:rPr>
          <w:lang w:val="fr-FR"/>
        </w:rPr>
        <w:t>indiqu</w:t>
      </w:r>
      <w:r w:rsidR="00E037DE" w:rsidRPr="004618D5">
        <w:rPr>
          <w:lang w:val="fr-FR"/>
        </w:rPr>
        <w:t xml:space="preserve">ent </w:t>
      </w:r>
      <w:r w:rsidR="007B1D8F" w:rsidRPr="004618D5">
        <w:rPr>
          <w:lang w:val="fr-FR"/>
        </w:rPr>
        <w:t xml:space="preserve">que, </w:t>
      </w:r>
      <w:r w:rsidR="00E037DE" w:rsidRPr="004618D5">
        <w:rPr>
          <w:lang w:val="fr-FR"/>
        </w:rPr>
        <w:t>c</w:t>
      </w:r>
      <w:r w:rsidR="00E65593" w:rsidRPr="004618D5">
        <w:rPr>
          <w:lang w:val="fr-FR"/>
        </w:rPr>
        <w:t>ependant, dans leur opinion dissidente commune, les juges Rozakis, Spielmann et Jebens avaient répondu par l</w:t>
      </w:r>
      <w:r w:rsidR="004618D5" w:rsidRPr="004618D5">
        <w:rPr>
          <w:lang w:val="fr-FR"/>
        </w:rPr>
        <w:t>’</w:t>
      </w:r>
      <w:r w:rsidR="00E65593" w:rsidRPr="004618D5">
        <w:rPr>
          <w:lang w:val="fr-FR"/>
        </w:rPr>
        <w:t xml:space="preserve">affirmative. </w:t>
      </w:r>
      <w:r w:rsidR="00E037DE" w:rsidRPr="004618D5">
        <w:rPr>
          <w:lang w:val="fr-FR"/>
        </w:rPr>
        <w:t xml:space="preserve">Selon les requérants, cet avis </w:t>
      </w:r>
      <w:r w:rsidR="00E65593" w:rsidRPr="004618D5">
        <w:rPr>
          <w:lang w:val="fr-FR"/>
        </w:rPr>
        <w:t>s</w:t>
      </w:r>
      <w:r w:rsidR="004618D5" w:rsidRPr="004618D5">
        <w:rPr>
          <w:lang w:val="fr-FR"/>
        </w:rPr>
        <w:t>’</w:t>
      </w:r>
      <w:r w:rsidR="00E65593" w:rsidRPr="004618D5">
        <w:rPr>
          <w:lang w:val="fr-FR"/>
        </w:rPr>
        <w:t xml:space="preserve">applique a fortiori </w:t>
      </w:r>
      <w:r w:rsidR="00E037DE" w:rsidRPr="004618D5">
        <w:rPr>
          <w:lang w:val="fr-FR"/>
        </w:rPr>
        <w:t xml:space="preserve">à </w:t>
      </w:r>
      <w:r w:rsidR="00E65593" w:rsidRPr="004618D5">
        <w:rPr>
          <w:lang w:val="fr-FR"/>
        </w:rPr>
        <w:t>l</w:t>
      </w:r>
      <w:r w:rsidR="004618D5" w:rsidRPr="004618D5">
        <w:rPr>
          <w:lang w:val="fr-FR"/>
        </w:rPr>
        <w:t>’</w:t>
      </w:r>
      <w:r w:rsidR="00E65593" w:rsidRPr="004618D5">
        <w:rPr>
          <w:lang w:val="fr-FR"/>
        </w:rPr>
        <w:t>un des droits découlant d</w:t>
      </w:r>
      <w:r w:rsidR="004618D5" w:rsidRPr="004618D5">
        <w:rPr>
          <w:lang w:val="fr-FR"/>
        </w:rPr>
        <w:t>’</w:t>
      </w:r>
      <w:r w:rsidR="00E65593" w:rsidRPr="004618D5">
        <w:rPr>
          <w:lang w:val="fr-FR"/>
        </w:rPr>
        <w:t>un mariage, à savoir la possibilité, pour le concubin ressortissant d</w:t>
      </w:r>
      <w:r w:rsidR="004618D5" w:rsidRPr="004618D5">
        <w:rPr>
          <w:lang w:val="fr-FR"/>
        </w:rPr>
        <w:t>’</w:t>
      </w:r>
      <w:r w:rsidR="00E65593" w:rsidRPr="004618D5">
        <w:rPr>
          <w:lang w:val="fr-FR"/>
        </w:rPr>
        <w:t>un État non membre de l</w:t>
      </w:r>
      <w:r w:rsidR="004618D5" w:rsidRPr="004618D5">
        <w:rPr>
          <w:lang w:val="fr-FR"/>
        </w:rPr>
        <w:t>’</w:t>
      </w:r>
      <w:r w:rsidR="00E65593" w:rsidRPr="004618D5">
        <w:rPr>
          <w:lang w:val="fr-FR"/>
        </w:rPr>
        <w:t>UE, d</w:t>
      </w:r>
      <w:r w:rsidR="004618D5" w:rsidRPr="004618D5">
        <w:rPr>
          <w:lang w:val="fr-FR"/>
        </w:rPr>
        <w:t>’</w:t>
      </w:r>
      <w:r w:rsidR="00E65593" w:rsidRPr="004618D5">
        <w:rPr>
          <w:lang w:val="fr-FR"/>
        </w:rPr>
        <w:t xml:space="preserve">obtenir un permis de séjour </w:t>
      </w:r>
      <w:r w:rsidR="009F5A18" w:rsidRPr="004618D5">
        <w:rPr>
          <w:lang w:val="fr-FR"/>
        </w:rPr>
        <w:t>pour raison familiale</w:t>
      </w:r>
      <w:r w:rsidR="00A877B6" w:rsidRPr="004618D5">
        <w:rPr>
          <w:lang w:val="fr-FR"/>
        </w:rPr>
        <w:t>.</w:t>
      </w:r>
    </w:p>
    <w:p w:rsidR="006F02EB" w:rsidRPr="004618D5" w:rsidRDefault="00E65593" w:rsidP="004618D5">
      <w:pPr>
        <w:pStyle w:val="ECHRPara"/>
        <w:rPr>
          <w:rStyle w:val="Enfasigrassetto"/>
          <w:b w:val="0"/>
          <w:bCs w:val="0"/>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69</w:t>
      </w:r>
      <w:r w:rsidRPr="004618D5">
        <w:rPr>
          <w:lang w:val="fr-FR"/>
        </w:rPr>
        <w:fldChar w:fldCharType="end"/>
      </w:r>
      <w:r w:rsidRPr="004618D5">
        <w:rPr>
          <w:lang w:val="fr-FR"/>
        </w:rPr>
        <w:t xml:space="preserve">.  Les requérants </w:t>
      </w:r>
      <w:r w:rsidR="0078586A" w:rsidRPr="004618D5">
        <w:rPr>
          <w:rStyle w:val="Enfasigrassetto"/>
          <w:b w:val="0"/>
          <w:bCs w:val="0"/>
          <w:lang w:val="fr-FR"/>
        </w:rPr>
        <w:t xml:space="preserve">exposent ensuite que </w:t>
      </w:r>
      <w:r w:rsidR="006F02EB" w:rsidRPr="004618D5">
        <w:rPr>
          <w:rStyle w:val="Enfasigrassetto"/>
          <w:b w:val="0"/>
          <w:bCs w:val="0"/>
          <w:lang w:val="fr-FR"/>
        </w:rPr>
        <w:t xml:space="preserve">les </w:t>
      </w:r>
      <w:r w:rsidR="00911788" w:rsidRPr="004618D5">
        <w:rPr>
          <w:rStyle w:val="Enfasigrassetto"/>
          <w:b w:val="0"/>
          <w:bCs w:val="0"/>
          <w:lang w:val="fr-FR"/>
        </w:rPr>
        <w:t>arrêt</w:t>
      </w:r>
      <w:r w:rsidR="006F02EB" w:rsidRPr="004618D5">
        <w:rPr>
          <w:rStyle w:val="Enfasigrassetto"/>
          <w:b w:val="0"/>
          <w:bCs w:val="0"/>
          <w:lang w:val="fr-FR"/>
        </w:rPr>
        <w:t>s</w:t>
      </w:r>
      <w:r w:rsidR="00911788" w:rsidRPr="004618D5">
        <w:rPr>
          <w:rStyle w:val="Enfasigrassetto"/>
          <w:b w:val="0"/>
          <w:bCs w:val="0"/>
          <w:lang w:val="fr-FR"/>
        </w:rPr>
        <w:t xml:space="preserve"> n</w:t>
      </w:r>
      <w:r w:rsidR="00B55B33" w:rsidRPr="004618D5">
        <w:rPr>
          <w:rStyle w:val="Enfasigrassetto"/>
          <w:b w:val="0"/>
          <w:bCs w:val="0"/>
          <w:vertAlign w:val="superscript"/>
          <w:lang w:val="fr-FR"/>
        </w:rPr>
        <w:t>o</w:t>
      </w:r>
      <w:r w:rsidR="00911788" w:rsidRPr="004618D5">
        <w:rPr>
          <w:rStyle w:val="Enfasigrassetto"/>
          <w:b w:val="0"/>
          <w:bCs w:val="0"/>
          <w:lang w:val="fr-FR"/>
        </w:rPr>
        <w:t xml:space="preserve"> 138 de 2010 </w:t>
      </w:r>
      <w:r w:rsidR="006F02EB" w:rsidRPr="004618D5">
        <w:rPr>
          <w:rStyle w:val="Enfasigrassetto"/>
          <w:b w:val="0"/>
          <w:bCs w:val="0"/>
          <w:lang w:val="fr-FR"/>
        </w:rPr>
        <w:t>de</w:t>
      </w:r>
      <w:r w:rsidR="00911788" w:rsidRPr="004618D5">
        <w:rPr>
          <w:rStyle w:val="Enfasigrassetto"/>
          <w:b w:val="0"/>
          <w:bCs w:val="0"/>
          <w:lang w:val="fr-FR"/>
        </w:rPr>
        <w:t xml:space="preserve"> la Cour constitutionnelle </w:t>
      </w:r>
      <w:r w:rsidR="006F02EB" w:rsidRPr="004618D5">
        <w:rPr>
          <w:rStyle w:val="Enfasigrassetto"/>
          <w:b w:val="0"/>
          <w:bCs w:val="0"/>
          <w:lang w:val="fr-FR"/>
        </w:rPr>
        <w:t xml:space="preserve">(paragraphe </w:t>
      </w:r>
      <w:r w:rsidR="003C71B5" w:rsidRPr="004618D5">
        <w:rPr>
          <w:lang w:val="fr-FR"/>
        </w:rPr>
        <w:t>64</w:t>
      </w:r>
      <w:r w:rsidR="006F02EB" w:rsidRPr="004618D5">
        <w:rPr>
          <w:rStyle w:val="Enfasigrassetto"/>
          <w:b w:val="0"/>
          <w:bCs w:val="0"/>
          <w:lang w:val="fr-FR"/>
        </w:rPr>
        <w:t xml:space="preserve"> ci-dessus) et n</w:t>
      </w:r>
      <w:r w:rsidR="00B55B33" w:rsidRPr="004618D5">
        <w:rPr>
          <w:rStyle w:val="Enfasigrassetto"/>
          <w:b w:val="0"/>
          <w:bCs w:val="0"/>
          <w:vertAlign w:val="superscript"/>
          <w:lang w:val="fr-FR"/>
        </w:rPr>
        <w:t>o</w:t>
      </w:r>
      <w:r w:rsidR="006F02EB" w:rsidRPr="004618D5">
        <w:rPr>
          <w:rStyle w:val="Enfasigrassetto"/>
          <w:b w:val="0"/>
          <w:bCs w:val="0"/>
          <w:lang w:val="fr-FR"/>
        </w:rPr>
        <w:t xml:space="preserve"> </w:t>
      </w:r>
      <w:r w:rsidR="006F02EB" w:rsidRPr="004618D5">
        <w:rPr>
          <w:lang w:val="fr-FR"/>
        </w:rPr>
        <w:t>4184 d</w:t>
      </w:r>
      <w:r w:rsidR="00E70C52" w:rsidRPr="004618D5">
        <w:rPr>
          <w:lang w:val="fr-FR"/>
        </w:rPr>
        <w:t>e</w:t>
      </w:r>
      <w:r w:rsidR="006F02EB" w:rsidRPr="004618D5">
        <w:rPr>
          <w:lang w:val="fr-FR"/>
        </w:rPr>
        <w:t xml:space="preserve"> 2012</w:t>
      </w:r>
      <w:r w:rsidR="00911788" w:rsidRPr="004618D5">
        <w:rPr>
          <w:rStyle w:val="Enfasigrassetto"/>
          <w:b w:val="0"/>
          <w:bCs w:val="0"/>
          <w:lang w:val="fr-FR"/>
        </w:rPr>
        <w:t xml:space="preserve"> </w:t>
      </w:r>
      <w:r w:rsidR="006F02EB" w:rsidRPr="004618D5">
        <w:rPr>
          <w:rStyle w:val="Enfasigrassetto"/>
          <w:b w:val="0"/>
          <w:bCs w:val="0"/>
          <w:lang w:val="fr-FR"/>
        </w:rPr>
        <w:t xml:space="preserve">de la Cour de cassation (paragraphe </w:t>
      </w:r>
      <w:r w:rsidR="003C71B5" w:rsidRPr="004618D5">
        <w:rPr>
          <w:lang w:val="fr-FR"/>
        </w:rPr>
        <w:t>66</w:t>
      </w:r>
      <w:r w:rsidR="006F02EB" w:rsidRPr="004618D5">
        <w:rPr>
          <w:rStyle w:val="Enfasigrassetto"/>
          <w:b w:val="0"/>
          <w:bCs w:val="0"/>
          <w:lang w:val="fr-FR"/>
        </w:rPr>
        <w:t xml:space="preserve"> ci-dessus) ont établi, en faveur des couples homosexuels stables, un droit à un traitement </w:t>
      </w:r>
      <w:r w:rsidR="002849B2" w:rsidRPr="004618D5">
        <w:rPr>
          <w:rStyle w:val="Enfasigrassetto"/>
          <w:b w:val="0"/>
          <w:bCs w:val="0"/>
          <w:lang w:val="fr-FR"/>
        </w:rPr>
        <w:t xml:space="preserve">comparable </w:t>
      </w:r>
      <w:r w:rsidR="006F02EB" w:rsidRPr="004618D5">
        <w:rPr>
          <w:rStyle w:val="Enfasigrassetto"/>
          <w:b w:val="0"/>
          <w:bCs w:val="0"/>
          <w:lang w:val="fr-FR"/>
        </w:rPr>
        <w:t xml:space="preserve">à celui des couples mariés. </w:t>
      </w:r>
      <w:r w:rsidR="009F5A18" w:rsidRPr="004618D5">
        <w:rPr>
          <w:rStyle w:val="Enfasigrassetto"/>
          <w:b w:val="0"/>
          <w:bCs w:val="0"/>
          <w:lang w:val="fr-FR"/>
        </w:rPr>
        <w:t>Ils déplorent que, e</w:t>
      </w:r>
      <w:r w:rsidR="006F02EB" w:rsidRPr="004618D5">
        <w:rPr>
          <w:rStyle w:val="Enfasigrassetto"/>
          <w:b w:val="0"/>
          <w:bCs w:val="0"/>
          <w:lang w:val="fr-FR"/>
        </w:rPr>
        <w:t xml:space="preserve">n dépit de ces progrès jurisprudentiels, le législateur italien </w:t>
      </w:r>
      <w:r w:rsidR="009F5A18" w:rsidRPr="004618D5">
        <w:rPr>
          <w:rStyle w:val="Enfasigrassetto"/>
          <w:b w:val="0"/>
          <w:bCs w:val="0"/>
          <w:lang w:val="fr-FR"/>
        </w:rPr>
        <w:t xml:space="preserve">ne soit </w:t>
      </w:r>
      <w:r w:rsidR="006F02EB" w:rsidRPr="004618D5">
        <w:rPr>
          <w:rStyle w:val="Enfasigrassetto"/>
          <w:b w:val="0"/>
          <w:bCs w:val="0"/>
          <w:lang w:val="fr-FR"/>
        </w:rPr>
        <w:t xml:space="preserve">pas intervenu pour réglementer ce droit dans le cadre de « situations internes » comme </w:t>
      </w:r>
      <w:r w:rsidR="0078586A" w:rsidRPr="004618D5">
        <w:rPr>
          <w:rStyle w:val="Enfasigrassetto"/>
          <w:b w:val="0"/>
          <w:bCs w:val="0"/>
          <w:lang w:val="fr-FR"/>
        </w:rPr>
        <w:t>la leur</w:t>
      </w:r>
      <w:r w:rsidR="00A640AD" w:rsidRPr="004618D5">
        <w:rPr>
          <w:rStyle w:val="Enfasigrassetto"/>
          <w:b w:val="0"/>
          <w:bCs w:val="0"/>
          <w:lang w:val="fr-FR"/>
        </w:rPr>
        <w:t>.</w:t>
      </w:r>
    </w:p>
    <w:p w:rsidR="00F67318" w:rsidRPr="004618D5" w:rsidRDefault="006F02EB"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70</w:t>
      </w:r>
      <w:r w:rsidRPr="004618D5">
        <w:rPr>
          <w:lang w:val="fr-FR"/>
        </w:rPr>
        <w:fldChar w:fldCharType="end"/>
      </w:r>
      <w:r w:rsidRPr="004618D5">
        <w:rPr>
          <w:lang w:val="fr-FR"/>
        </w:rPr>
        <w:t>.  </w:t>
      </w:r>
      <w:r w:rsidR="001D395E" w:rsidRPr="004618D5">
        <w:rPr>
          <w:lang w:val="fr-FR"/>
        </w:rPr>
        <w:t>À l</w:t>
      </w:r>
      <w:r w:rsidR="004618D5" w:rsidRPr="004618D5">
        <w:rPr>
          <w:lang w:val="fr-FR"/>
        </w:rPr>
        <w:t>’</w:t>
      </w:r>
      <w:r w:rsidR="001D395E" w:rsidRPr="004618D5">
        <w:rPr>
          <w:lang w:val="fr-FR"/>
        </w:rPr>
        <w:t>instar des</w:t>
      </w:r>
      <w:r w:rsidRPr="004618D5">
        <w:rPr>
          <w:lang w:val="fr-FR"/>
        </w:rPr>
        <w:t xml:space="preserve"> tiers intervenant</w:t>
      </w:r>
      <w:r w:rsidR="00E70C52" w:rsidRPr="004618D5">
        <w:rPr>
          <w:lang w:val="fr-FR"/>
        </w:rPr>
        <w:t xml:space="preserve">s (paragraphes </w:t>
      </w:r>
      <w:r w:rsidR="003C71B5" w:rsidRPr="004618D5">
        <w:rPr>
          <w:lang w:val="fr-FR"/>
        </w:rPr>
        <w:t>74</w:t>
      </w:r>
      <w:r w:rsidR="00816BE4" w:rsidRPr="004618D5">
        <w:rPr>
          <w:lang w:val="fr-FR"/>
        </w:rPr>
        <w:t>-</w:t>
      </w:r>
      <w:r w:rsidR="003C71B5" w:rsidRPr="004618D5">
        <w:rPr>
          <w:lang w:val="fr-FR"/>
        </w:rPr>
        <w:t>80</w:t>
      </w:r>
      <w:r w:rsidR="00E70C52" w:rsidRPr="004618D5">
        <w:rPr>
          <w:lang w:val="fr-FR"/>
        </w:rPr>
        <w:t xml:space="preserve"> ci-</w:t>
      </w:r>
      <w:r w:rsidR="001D6F2C" w:rsidRPr="004618D5">
        <w:rPr>
          <w:lang w:val="fr-FR"/>
        </w:rPr>
        <w:t>dessous</w:t>
      </w:r>
      <w:r w:rsidR="00E70C52" w:rsidRPr="004618D5">
        <w:rPr>
          <w:lang w:val="fr-FR"/>
        </w:rPr>
        <w:t>)</w:t>
      </w:r>
      <w:r w:rsidR="001D395E" w:rsidRPr="004618D5">
        <w:rPr>
          <w:lang w:val="fr-FR"/>
        </w:rPr>
        <w:t>,</w:t>
      </w:r>
      <w:r w:rsidRPr="004618D5">
        <w:rPr>
          <w:lang w:val="fr-FR"/>
        </w:rPr>
        <w:t xml:space="preserve"> </w:t>
      </w:r>
      <w:r w:rsidR="001D395E" w:rsidRPr="004618D5">
        <w:rPr>
          <w:lang w:val="fr-FR"/>
        </w:rPr>
        <w:t>les requérants expliquent que</w:t>
      </w:r>
      <w:r w:rsidRPr="004618D5">
        <w:rPr>
          <w:lang w:val="fr-FR"/>
        </w:rPr>
        <w:t xml:space="preserve"> </w:t>
      </w:r>
      <w:r w:rsidR="001E192E" w:rsidRPr="004618D5">
        <w:rPr>
          <w:lang w:val="fr-FR"/>
        </w:rPr>
        <w:t>réserver, dans des pays où le mariage n</w:t>
      </w:r>
      <w:r w:rsidR="004618D5" w:rsidRPr="004618D5">
        <w:rPr>
          <w:lang w:val="fr-FR"/>
        </w:rPr>
        <w:t>’</w:t>
      </w:r>
      <w:r w:rsidR="001E192E" w:rsidRPr="004618D5">
        <w:rPr>
          <w:lang w:val="fr-FR"/>
        </w:rPr>
        <w:t xml:space="preserve">est pas ouvert aux couples homosexuels, </w:t>
      </w:r>
      <w:r w:rsidR="00FF7F4E" w:rsidRPr="004618D5">
        <w:rPr>
          <w:lang w:val="fr-FR"/>
        </w:rPr>
        <w:t>certains</w:t>
      </w:r>
      <w:r w:rsidRPr="004618D5">
        <w:rPr>
          <w:lang w:val="fr-FR"/>
        </w:rPr>
        <w:t xml:space="preserve"> droit</w:t>
      </w:r>
      <w:r w:rsidR="00FF7F4E" w:rsidRPr="004618D5">
        <w:rPr>
          <w:lang w:val="fr-FR"/>
        </w:rPr>
        <w:t>s</w:t>
      </w:r>
      <w:r w:rsidRPr="004618D5">
        <w:rPr>
          <w:lang w:val="fr-FR"/>
        </w:rPr>
        <w:t xml:space="preserve"> au</w:t>
      </w:r>
      <w:r w:rsidR="00FF7F4E" w:rsidRPr="004618D5">
        <w:rPr>
          <w:lang w:val="fr-FR"/>
        </w:rPr>
        <w:t>x</w:t>
      </w:r>
      <w:r w:rsidRPr="004618D5">
        <w:rPr>
          <w:lang w:val="fr-FR"/>
        </w:rPr>
        <w:t xml:space="preserve"> seuls couples hétérosexuels </w:t>
      </w:r>
      <w:r w:rsidR="00FF7F4E" w:rsidRPr="004618D5">
        <w:rPr>
          <w:lang w:val="fr-FR"/>
        </w:rPr>
        <w:t>mariés</w:t>
      </w:r>
      <w:r w:rsidR="001E192E" w:rsidRPr="004618D5">
        <w:rPr>
          <w:lang w:val="fr-FR"/>
        </w:rPr>
        <w:t xml:space="preserve"> </w:t>
      </w:r>
      <w:r w:rsidRPr="004618D5">
        <w:rPr>
          <w:lang w:val="fr-FR"/>
        </w:rPr>
        <w:t>s</w:t>
      </w:r>
      <w:r w:rsidR="004618D5" w:rsidRPr="004618D5">
        <w:rPr>
          <w:lang w:val="fr-FR"/>
        </w:rPr>
        <w:t>’</w:t>
      </w:r>
      <w:r w:rsidRPr="004618D5">
        <w:rPr>
          <w:lang w:val="fr-FR"/>
        </w:rPr>
        <w:t xml:space="preserve">analyse en </w:t>
      </w:r>
      <w:r w:rsidR="00FF7F4E" w:rsidRPr="004618D5">
        <w:rPr>
          <w:lang w:val="fr-FR"/>
        </w:rPr>
        <w:t xml:space="preserve">principe en </w:t>
      </w:r>
      <w:r w:rsidRPr="004618D5">
        <w:rPr>
          <w:lang w:val="fr-FR"/>
        </w:rPr>
        <w:t>une discrimination indirecte basée sur l</w:t>
      </w:r>
      <w:r w:rsidR="004618D5" w:rsidRPr="004618D5">
        <w:rPr>
          <w:lang w:val="fr-FR"/>
        </w:rPr>
        <w:t>’</w:t>
      </w:r>
      <w:r w:rsidRPr="004618D5">
        <w:rPr>
          <w:lang w:val="fr-FR"/>
        </w:rPr>
        <w:t xml:space="preserve">orientation sexuelle. </w:t>
      </w:r>
      <w:r w:rsidR="00FF7F4E" w:rsidRPr="004618D5">
        <w:rPr>
          <w:lang w:val="fr-FR"/>
        </w:rPr>
        <w:t xml:space="preserve">Cette conclusion </w:t>
      </w:r>
      <w:r w:rsidR="009F5A18" w:rsidRPr="004618D5">
        <w:rPr>
          <w:lang w:val="fr-FR"/>
        </w:rPr>
        <w:t>a</w:t>
      </w:r>
      <w:r w:rsidR="0078586A" w:rsidRPr="004618D5">
        <w:rPr>
          <w:lang w:val="fr-FR"/>
        </w:rPr>
        <w:t>,</w:t>
      </w:r>
      <w:r w:rsidR="009F5A18" w:rsidRPr="004618D5">
        <w:rPr>
          <w:lang w:val="fr-FR"/>
        </w:rPr>
        <w:t xml:space="preserve"> selon eux</w:t>
      </w:r>
      <w:r w:rsidR="0078586A" w:rsidRPr="004618D5">
        <w:rPr>
          <w:lang w:val="fr-FR"/>
        </w:rPr>
        <w:t>,</w:t>
      </w:r>
      <w:r w:rsidR="009F5A18" w:rsidRPr="004618D5">
        <w:rPr>
          <w:lang w:val="fr-FR"/>
        </w:rPr>
        <w:t xml:space="preserve"> été confirmée</w:t>
      </w:r>
      <w:r w:rsidR="00FF7F4E" w:rsidRPr="004618D5">
        <w:rPr>
          <w:lang w:val="fr-FR"/>
        </w:rPr>
        <w:t xml:space="preserve"> par le rapport intitulé « Homophobie et discrimination fondée sur l</w:t>
      </w:r>
      <w:r w:rsidR="004618D5" w:rsidRPr="004618D5">
        <w:rPr>
          <w:lang w:val="fr-FR"/>
        </w:rPr>
        <w:t>’</w:t>
      </w:r>
      <w:r w:rsidR="00FF7F4E" w:rsidRPr="004618D5">
        <w:rPr>
          <w:lang w:val="fr-FR"/>
        </w:rPr>
        <w:t>orientation sexuelle dans les États membres de l</w:t>
      </w:r>
      <w:r w:rsidR="004618D5" w:rsidRPr="004618D5">
        <w:rPr>
          <w:lang w:val="fr-FR"/>
        </w:rPr>
        <w:t>’</w:t>
      </w:r>
      <w:r w:rsidR="00FF7F4E" w:rsidRPr="004618D5">
        <w:rPr>
          <w:lang w:val="fr-FR"/>
        </w:rPr>
        <w:t>UE, Partie I – Analyse juridique », publié en juin 2008 par l</w:t>
      </w:r>
      <w:r w:rsidR="004618D5" w:rsidRPr="004618D5">
        <w:rPr>
          <w:lang w:val="fr-FR"/>
        </w:rPr>
        <w:t>’</w:t>
      </w:r>
      <w:r w:rsidR="00FF7F4E" w:rsidRPr="004618D5">
        <w:rPr>
          <w:lang w:val="fr-FR"/>
        </w:rPr>
        <w:t>Agence pour les droits fondamentaux de l</w:t>
      </w:r>
      <w:r w:rsidR="004618D5" w:rsidRPr="004618D5">
        <w:rPr>
          <w:lang w:val="fr-FR"/>
        </w:rPr>
        <w:t>’</w:t>
      </w:r>
      <w:r w:rsidR="00FF7F4E" w:rsidRPr="004618D5">
        <w:rPr>
          <w:lang w:val="fr-FR"/>
        </w:rPr>
        <w:t>U</w:t>
      </w:r>
      <w:r w:rsidR="00A26310" w:rsidRPr="004618D5">
        <w:rPr>
          <w:lang w:val="fr-FR"/>
        </w:rPr>
        <w:t>E</w:t>
      </w:r>
      <w:r w:rsidR="00FF7F4E" w:rsidRPr="004618D5">
        <w:rPr>
          <w:lang w:val="fr-FR"/>
        </w:rPr>
        <w:t xml:space="preserve"> (FRA)</w:t>
      </w:r>
      <w:r w:rsidR="009F5A18" w:rsidRPr="004618D5">
        <w:rPr>
          <w:lang w:val="fr-FR"/>
        </w:rPr>
        <w:t> ;</w:t>
      </w:r>
      <w:r w:rsidR="00FF7F4E" w:rsidRPr="004618D5">
        <w:rPr>
          <w:lang w:val="fr-FR"/>
        </w:rPr>
        <w:t xml:space="preserve"> </w:t>
      </w:r>
      <w:r w:rsidR="009F5A18" w:rsidRPr="004618D5">
        <w:rPr>
          <w:lang w:val="fr-FR"/>
        </w:rPr>
        <w:t>s</w:t>
      </w:r>
      <w:r w:rsidR="00FF7F4E" w:rsidRPr="004618D5">
        <w:rPr>
          <w:lang w:val="fr-FR"/>
        </w:rPr>
        <w:t xml:space="preserve">elon cette </w:t>
      </w:r>
      <w:r w:rsidR="009F5A18" w:rsidRPr="004618D5">
        <w:rPr>
          <w:lang w:val="fr-FR"/>
        </w:rPr>
        <w:t>agence</w:t>
      </w:r>
      <w:r w:rsidR="00FF7F4E" w:rsidRPr="004618D5">
        <w:rPr>
          <w:lang w:val="fr-FR"/>
        </w:rPr>
        <w:t>, les dispositions internationales en matière de droits de l</w:t>
      </w:r>
      <w:r w:rsidR="004618D5" w:rsidRPr="004618D5">
        <w:rPr>
          <w:lang w:val="fr-FR"/>
        </w:rPr>
        <w:t>’</w:t>
      </w:r>
      <w:r w:rsidR="00FF7F4E" w:rsidRPr="004618D5">
        <w:rPr>
          <w:lang w:val="fr-FR"/>
        </w:rPr>
        <w:t xml:space="preserve">homme </w:t>
      </w:r>
      <w:r w:rsidR="005703DA" w:rsidRPr="004618D5">
        <w:rPr>
          <w:lang w:val="fr-FR"/>
        </w:rPr>
        <w:t>recom</w:t>
      </w:r>
      <w:r w:rsidR="00FF7F4E" w:rsidRPr="004618D5">
        <w:rPr>
          <w:lang w:val="fr-FR"/>
        </w:rPr>
        <w:t>mandent soit que les couples d</w:t>
      </w:r>
      <w:r w:rsidR="002A0F29" w:rsidRPr="004618D5">
        <w:rPr>
          <w:lang w:val="fr-FR"/>
        </w:rPr>
        <w:t>e</w:t>
      </w:r>
      <w:r w:rsidR="00FF7F4E" w:rsidRPr="004618D5">
        <w:rPr>
          <w:lang w:val="fr-FR"/>
        </w:rPr>
        <w:t xml:space="preserve"> même sexe puissent avoir accès à une forme de partenariat enregistré leur donn</w:t>
      </w:r>
      <w:r w:rsidR="0078586A" w:rsidRPr="004618D5">
        <w:rPr>
          <w:lang w:val="fr-FR"/>
        </w:rPr>
        <w:t>ant</w:t>
      </w:r>
      <w:r w:rsidR="00FF7F4E" w:rsidRPr="004618D5">
        <w:rPr>
          <w:lang w:val="fr-FR"/>
        </w:rPr>
        <w:t xml:space="preserve"> les mêmes avantages </w:t>
      </w:r>
      <w:r w:rsidR="00620C49" w:rsidRPr="004618D5">
        <w:rPr>
          <w:lang w:val="fr-FR"/>
        </w:rPr>
        <w:t>que le</w:t>
      </w:r>
      <w:r w:rsidR="00FF7F4E" w:rsidRPr="004618D5">
        <w:rPr>
          <w:lang w:val="fr-FR"/>
        </w:rPr>
        <w:t xml:space="preserve"> mariage, </w:t>
      </w:r>
      <w:r w:rsidR="003B18A9" w:rsidRPr="004618D5">
        <w:rPr>
          <w:lang w:val="fr-FR"/>
        </w:rPr>
        <w:t>soi</w:t>
      </w:r>
      <w:r w:rsidR="009F5A18" w:rsidRPr="004618D5">
        <w:rPr>
          <w:lang w:val="fr-FR"/>
        </w:rPr>
        <w:t xml:space="preserve">t </w:t>
      </w:r>
      <w:r w:rsidR="00FF7F4E" w:rsidRPr="004618D5">
        <w:rPr>
          <w:lang w:val="fr-FR"/>
        </w:rPr>
        <w:t xml:space="preserve">que leur relation </w:t>
      </w:r>
      <w:r w:rsidR="00966459" w:rsidRPr="004618D5">
        <w:rPr>
          <w:i/>
          <w:lang w:val="fr-FR"/>
        </w:rPr>
        <w:t>de facto</w:t>
      </w:r>
      <w:r w:rsidR="00620C49" w:rsidRPr="004618D5">
        <w:rPr>
          <w:lang w:val="fr-FR"/>
        </w:rPr>
        <w:t xml:space="preserve"> durable leur donne accès à ces avantages.</w:t>
      </w:r>
    </w:p>
    <w:p w:rsidR="0049278B" w:rsidRPr="004618D5" w:rsidRDefault="00620C49" w:rsidP="004618D5">
      <w:pPr>
        <w:pStyle w:val="ECHRPara"/>
        <w:rPr>
          <w:bCs/>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71</w:t>
      </w:r>
      <w:r w:rsidRPr="004618D5">
        <w:rPr>
          <w:lang w:val="fr-FR"/>
        </w:rPr>
        <w:fldChar w:fldCharType="end"/>
      </w:r>
      <w:r w:rsidRPr="004618D5">
        <w:rPr>
          <w:lang w:val="fr-FR"/>
        </w:rPr>
        <w:t>.  Les requérants invoquent également l</w:t>
      </w:r>
      <w:r w:rsidR="004618D5" w:rsidRPr="004618D5">
        <w:rPr>
          <w:lang w:val="fr-FR"/>
        </w:rPr>
        <w:t>’</w:t>
      </w:r>
      <w:r w:rsidR="00F67318" w:rsidRPr="004618D5">
        <w:rPr>
          <w:lang w:val="fr-FR"/>
        </w:rPr>
        <w:t>arrêt</w:t>
      </w:r>
      <w:r w:rsidRPr="004618D5">
        <w:rPr>
          <w:lang w:val="fr-FR"/>
        </w:rPr>
        <w:t xml:space="preserve"> rendu le 14 décembre</w:t>
      </w:r>
      <w:r w:rsidR="004618D5" w:rsidRPr="004618D5">
        <w:rPr>
          <w:lang w:val="fr-FR"/>
        </w:rPr>
        <w:t xml:space="preserve"> </w:t>
      </w:r>
      <w:r w:rsidRPr="004618D5">
        <w:rPr>
          <w:lang w:val="fr-FR"/>
        </w:rPr>
        <w:t xml:space="preserve">2009 par le </w:t>
      </w:r>
      <w:r w:rsidR="00F67318" w:rsidRPr="004618D5">
        <w:rPr>
          <w:i/>
          <w:lang w:val="fr-FR"/>
        </w:rPr>
        <w:t xml:space="preserve">Judicial Committee of the </w:t>
      </w:r>
      <w:r w:rsidRPr="004618D5">
        <w:rPr>
          <w:i/>
          <w:lang w:val="fr-FR"/>
        </w:rPr>
        <w:t xml:space="preserve">Privy Council </w:t>
      </w:r>
      <w:r w:rsidRPr="004618D5">
        <w:rPr>
          <w:lang w:val="fr-FR"/>
        </w:rPr>
        <w:t>du Royaume-Uni dans l</w:t>
      </w:r>
      <w:r w:rsidR="004618D5" w:rsidRPr="004618D5">
        <w:rPr>
          <w:lang w:val="fr-FR"/>
        </w:rPr>
        <w:t>’</w:t>
      </w:r>
      <w:r w:rsidRPr="004618D5">
        <w:rPr>
          <w:lang w:val="fr-FR"/>
        </w:rPr>
        <w:t xml:space="preserve">affaire </w:t>
      </w:r>
      <w:r w:rsidRPr="004618D5">
        <w:rPr>
          <w:i/>
          <w:lang w:val="fr-FR"/>
        </w:rPr>
        <w:t>Rodriguez v. Minister of Housing</w:t>
      </w:r>
      <w:r w:rsidR="00F67318" w:rsidRPr="004618D5">
        <w:rPr>
          <w:i/>
          <w:lang w:val="fr-FR"/>
        </w:rPr>
        <w:t xml:space="preserve"> </w:t>
      </w:r>
      <w:r w:rsidR="00F67318" w:rsidRPr="004618D5">
        <w:rPr>
          <w:lang w:val="fr-FR"/>
        </w:rPr>
        <w:t xml:space="preserve">([2009] UKPC 52 – </w:t>
      </w:r>
      <w:r w:rsidR="00F67318" w:rsidRPr="004618D5">
        <w:rPr>
          <w:bCs/>
          <w:i/>
          <w:lang w:val="fr-FR"/>
        </w:rPr>
        <w:t>Privy Council Appeal</w:t>
      </w:r>
      <w:r w:rsidR="00F67318" w:rsidRPr="004618D5">
        <w:rPr>
          <w:bCs/>
          <w:lang w:val="fr-FR"/>
        </w:rPr>
        <w:t xml:space="preserve"> </w:t>
      </w:r>
      <w:r w:rsidR="00A26310" w:rsidRPr="004618D5">
        <w:rPr>
          <w:bCs/>
          <w:lang w:val="fr-FR"/>
        </w:rPr>
        <w:t>n</w:t>
      </w:r>
      <w:r w:rsidR="00B55B33" w:rsidRPr="004618D5">
        <w:rPr>
          <w:bCs/>
          <w:vertAlign w:val="superscript"/>
          <w:lang w:val="fr-FR"/>
        </w:rPr>
        <w:t>o</w:t>
      </w:r>
      <w:r w:rsidR="00F67318" w:rsidRPr="004618D5">
        <w:rPr>
          <w:bCs/>
          <w:lang w:val="fr-FR"/>
        </w:rPr>
        <w:t xml:space="preserve"> 0028 </w:t>
      </w:r>
      <w:r w:rsidR="00A26310" w:rsidRPr="004618D5">
        <w:rPr>
          <w:bCs/>
          <w:lang w:val="fr-FR"/>
        </w:rPr>
        <w:t>de</w:t>
      </w:r>
      <w:r w:rsidR="00F67318" w:rsidRPr="004618D5">
        <w:rPr>
          <w:bCs/>
          <w:lang w:val="fr-FR"/>
        </w:rPr>
        <w:t xml:space="preserve"> 2009) </w:t>
      </w:r>
      <w:r w:rsidR="000C2F05" w:rsidRPr="004618D5">
        <w:rPr>
          <w:bCs/>
          <w:lang w:val="fr-FR"/>
        </w:rPr>
        <w:t xml:space="preserve">qualifiant de discriminatoire une politique </w:t>
      </w:r>
      <w:r w:rsidR="001E192E" w:rsidRPr="004618D5">
        <w:rPr>
          <w:bCs/>
          <w:lang w:val="fr-FR"/>
        </w:rPr>
        <w:t>qui exclurait les couples de même sexe ayant une relation stable de longue durée</w:t>
      </w:r>
      <w:r w:rsidR="001E192E" w:rsidRPr="004618D5" w:rsidDel="001E192E">
        <w:rPr>
          <w:bCs/>
          <w:lang w:val="fr-FR"/>
        </w:rPr>
        <w:t xml:space="preserve"> </w:t>
      </w:r>
      <w:r w:rsidR="001E192E" w:rsidRPr="004618D5">
        <w:rPr>
          <w:bCs/>
          <w:lang w:val="fr-FR"/>
        </w:rPr>
        <w:t>de l</w:t>
      </w:r>
      <w:r w:rsidR="004618D5" w:rsidRPr="004618D5">
        <w:rPr>
          <w:bCs/>
          <w:lang w:val="fr-FR"/>
        </w:rPr>
        <w:t>’</w:t>
      </w:r>
      <w:r w:rsidR="00A27600" w:rsidRPr="004618D5">
        <w:rPr>
          <w:bCs/>
          <w:lang w:val="fr-FR"/>
        </w:rPr>
        <w:t>accès aux contrats de location joints (</w:t>
      </w:r>
      <w:r w:rsidR="00A27600" w:rsidRPr="004618D5">
        <w:rPr>
          <w:bCs/>
          <w:i/>
          <w:lang w:val="fr-FR"/>
        </w:rPr>
        <w:t>joint tenancies</w:t>
      </w:r>
      <w:r w:rsidR="00A27600" w:rsidRPr="004618D5">
        <w:rPr>
          <w:bCs/>
          <w:lang w:val="fr-FR"/>
        </w:rPr>
        <w:t>)</w:t>
      </w:r>
      <w:r w:rsidR="003B18A9" w:rsidRPr="004618D5">
        <w:rPr>
          <w:bCs/>
          <w:lang w:val="fr-FR"/>
        </w:rPr>
        <w:t xml:space="preserve">. Ils </w:t>
      </w:r>
      <w:r w:rsidR="00FB26C6" w:rsidRPr="004618D5">
        <w:rPr>
          <w:bCs/>
          <w:lang w:val="fr-FR"/>
        </w:rPr>
        <w:lastRenderedPageBreak/>
        <w:t xml:space="preserve">indiquent </w:t>
      </w:r>
      <w:r w:rsidR="003B18A9" w:rsidRPr="004618D5">
        <w:rPr>
          <w:bCs/>
          <w:lang w:val="fr-FR"/>
        </w:rPr>
        <w:t>en outre</w:t>
      </w:r>
      <w:r w:rsidR="000C2F05" w:rsidRPr="004618D5">
        <w:rPr>
          <w:bCs/>
          <w:lang w:val="fr-FR"/>
        </w:rPr>
        <w:t xml:space="preserve"> </w:t>
      </w:r>
      <w:r w:rsidR="003B18A9" w:rsidRPr="004618D5">
        <w:rPr>
          <w:bCs/>
          <w:lang w:val="fr-FR"/>
        </w:rPr>
        <w:t>que</w:t>
      </w:r>
      <w:r w:rsidR="009F5A18" w:rsidRPr="004618D5">
        <w:rPr>
          <w:bCs/>
          <w:lang w:val="fr-FR"/>
        </w:rPr>
        <w:t>,</w:t>
      </w:r>
      <w:r w:rsidR="003B18A9" w:rsidRPr="004618D5">
        <w:rPr>
          <w:bCs/>
          <w:lang w:val="fr-FR"/>
        </w:rPr>
        <w:t xml:space="preserve"> dans son </w:t>
      </w:r>
      <w:r w:rsidR="000C2F05" w:rsidRPr="004618D5">
        <w:rPr>
          <w:bCs/>
          <w:lang w:val="fr-FR"/>
        </w:rPr>
        <w:t xml:space="preserve">opinion </w:t>
      </w:r>
      <w:r w:rsidR="003B18A9" w:rsidRPr="004618D5">
        <w:rPr>
          <w:bCs/>
          <w:lang w:val="fr-FR"/>
        </w:rPr>
        <w:t>du</w:t>
      </w:r>
      <w:r w:rsidR="000C2F05" w:rsidRPr="004618D5">
        <w:rPr>
          <w:bCs/>
          <w:lang w:val="fr-FR"/>
        </w:rPr>
        <w:t xml:space="preserve"> 15</w:t>
      </w:r>
      <w:r w:rsidR="00816BE4" w:rsidRPr="004618D5">
        <w:rPr>
          <w:bCs/>
          <w:lang w:val="fr-FR"/>
        </w:rPr>
        <w:t> </w:t>
      </w:r>
      <w:r w:rsidR="000C2F05" w:rsidRPr="004618D5">
        <w:rPr>
          <w:bCs/>
          <w:lang w:val="fr-FR"/>
        </w:rPr>
        <w:t>juillet</w:t>
      </w:r>
      <w:r w:rsidR="00816BE4" w:rsidRPr="004618D5">
        <w:rPr>
          <w:bCs/>
          <w:lang w:val="fr-FR"/>
        </w:rPr>
        <w:t> </w:t>
      </w:r>
      <w:r w:rsidR="000C2F05" w:rsidRPr="004618D5">
        <w:rPr>
          <w:bCs/>
          <w:lang w:val="fr-FR"/>
        </w:rPr>
        <w:t>2010</w:t>
      </w:r>
      <w:r w:rsidR="003B18A9" w:rsidRPr="004618D5">
        <w:rPr>
          <w:bCs/>
          <w:lang w:val="fr-FR"/>
        </w:rPr>
        <w:t xml:space="preserve"> dans l</w:t>
      </w:r>
      <w:r w:rsidR="004618D5" w:rsidRPr="004618D5">
        <w:rPr>
          <w:bCs/>
          <w:lang w:val="fr-FR"/>
        </w:rPr>
        <w:t>’</w:t>
      </w:r>
      <w:r w:rsidR="003B18A9" w:rsidRPr="004618D5">
        <w:rPr>
          <w:bCs/>
          <w:lang w:val="fr-FR"/>
        </w:rPr>
        <w:t xml:space="preserve">affaire </w:t>
      </w:r>
      <w:r w:rsidR="003B18A9" w:rsidRPr="004618D5">
        <w:rPr>
          <w:bCs/>
          <w:i/>
          <w:lang w:val="fr-FR"/>
        </w:rPr>
        <w:t>Römer c. Freie und Hansestadt Hamburg</w:t>
      </w:r>
      <w:r w:rsidR="003B18A9" w:rsidRPr="004618D5">
        <w:rPr>
          <w:bCs/>
          <w:lang w:val="fr-FR"/>
        </w:rPr>
        <w:t xml:space="preserve"> (affaire C-147/08),</w:t>
      </w:r>
      <w:r w:rsidR="000C2F05" w:rsidRPr="004618D5">
        <w:rPr>
          <w:bCs/>
          <w:lang w:val="fr-FR"/>
        </w:rPr>
        <w:t xml:space="preserve"> l</w:t>
      </w:r>
      <w:r w:rsidR="004618D5" w:rsidRPr="004618D5">
        <w:rPr>
          <w:bCs/>
          <w:lang w:val="fr-FR"/>
        </w:rPr>
        <w:t>’</w:t>
      </w:r>
      <w:r w:rsidR="000C2F05" w:rsidRPr="004618D5">
        <w:rPr>
          <w:bCs/>
          <w:lang w:val="fr-FR"/>
        </w:rPr>
        <w:t>avocat général de la CJUE</w:t>
      </w:r>
      <w:r w:rsidR="00793F1E" w:rsidRPr="004618D5">
        <w:rPr>
          <w:bCs/>
          <w:lang w:val="fr-FR"/>
        </w:rPr>
        <w:t xml:space="preserve"> </w:t>
      </w:r>
      <w:r w:rsidR="003B18A9" w:rsidRPr="004618D5">
        <w:rPr>
          <w:bCs/>
          <w:lang w:val="fr-FR"/>
        </w:rPr>
        <w:t>a estimé que</w:t>
      </w:r>
      <w:r w:rsidR="0049278B" w:rsidRPr="004618D5">
        <w:rPr>
          <w:bCs/>
          <w:lang w:val="fr-FR"/>
        </w:rPr>
        <w:t xml:space="preserve"> le fait de n</w:t>
      </w:r>
      <w:r w:rsidR="004618D5" w:rsidRPr="004618D5">
        <w:rPr>
          <w:bCs/>
          <w:lang w:val="fr-FR"/>
        </w:rPr>
        <w:t>’</w:t>
      </w:r>
      <w:r w:rsidR="0049278B" w:rsidRPr="004618D5">
        <w:rPr>
          <w:bCs/>
          <w:lang w:val="fr-FR"/>
        </w:rPr>
        <w:t>admettre aucune forme d</w:t>
      </w:r>
      <w:r w:rsidR="004618D5" w:rsidRPr="004618D5">
        <w:rPr>
          <w:bCs/>
          <w:lang w:val="fr-FR"/>
        </w:rPr>
        <w:t>’</w:t>
      </w:r>
      <w:r w:rsidR="0049278B" w:rsidRPr="004618D5">
        <w:rPr>
          <w:bCs/>
          <w:lang w:val="fr-FR"/>
        </w:rPr>
        <w:t>union légalement reconnue ouverte aux personnes d</w:t>
      </w:r>
      <w:r w:rsidR="002A0F29" w:rsidRPr="004618D5">
        <w:rPr>
          <w:bCs/>
          <w:lang w:val="fr-FR"/>
        </w:rPr>
        <w:t>e</w:t>
      </w:r>
      <w:r w:rsidR="0049278B" w:rsidRPr="004618D5">
        <w:rPr>
          <w:bCs/>
          <w:lang w:val="fr-FR"/>
        </w:rPr>
        <w:t xml:space="preserve"> même sexe pourrait être considéré </w:t>
      </w:r>
      <w:r w:rsidR="00802FD2" w:rsidRPr="004618D5">
        <w:rPr>
          <w:bCs/>
          <w:lang w:val="fr-FR"/>
        </w:rPr>
        <w:t xml:space="preserve">comme </w:t>
      </w:r>
      <w:r w:rsidR="0049278B" w:rsidRPr="004618D5">
        <w:rPr>
          <w:bCs/>
          <w:lang w:val="fr-FR"/>
        </w:rPr>
        <w:t>constitut</w:t>
      </w:r>
      <w:r w:rsidR="003B18A9" w:rsidRPr="004618D5">
        <w:rPr>
          <w:bCs/>
          <w:lang w:val="fr-FR"/>
        </w:rPr>
        <w:t>if d</w:t>
      </w:r>
      <w:r w:rsidR="004618D5" w:rsidRPr="004618D5">
        <w:rPr>
          <w:bCs/>
          <w:lang w:val="fr-FR"/>
        </w:rPr>
        <w:t>’</w:t>
      </w:r>
      <w:r w:rsidR="0049278B" w:rsidRPr="004618D5">
        <w:rPr>
          <w:bCs/>
          <w:lang w:val="fr-FR"/>
        </w:rPr>
        <w:t>une discrimination liée à l</w:t>
      </w:r>
      <w:r w:rsidR="004618D5" w:rsidRPr="004618D5">
        <w:rPr>
          <w:bCs/>
          <w:lang w:val="fr-FR"/>
        </w:rPr>
        <w:t>’</w:t>
      </w:r>
      <w:r w:rsidR="0049278B" w:rsidRPr="004618D5">
        <w:rPr>
          <w:bCs/>
          <w:lang w:val="fr-FR"/>
        </w:rPr>
        <w:t xml:space="preserve">orientation sexuelle. </w:t>
      </w:r>
      <w:r w:rsidR="001E192E" w:rsidRPr="004618D5">
        <w:rPr>
          <w:bCs/>
          <w:lang w:val="fr-FR"/>
        </w:rPr>
        <w:t>Ils</w:t>
      </w:r>
      <w:r w:rsidR="0049278B" w:rsidRPr="004618D5">
        <w:rPr>
          <w:bCs/>
          <w:lang w:val="fr-FR"/>
        </w:rPr>
        <w:t xml:space="preserve"> </w:t>
      </w:r>
      <w:r w:rsidR="00802FD2" w:rsidRPr="004618D5">
        <w:rPr>
          <w:bCs/>
          <w:lang w:val="fr-FR"/>
        </w:rPr>
        <w:t>soutiennent qu</w:t>
      </w:r>
      <w:r w:rsidR="004618D5" w:rsidRPr="004618D5">
        <w:rPr>
          <w:bCs/>
          <w:lang w:val="fr-FR"/>
        </w:rPr>
        <w:t>’</w:t>
      </w:r>
      <w:r w:rsidR="0049278B" w:rsidRPr="004618D5">
        <w:rPr>
          <w:bCs/>
          <w:lang w:val="fr-FR"/>
        </w:rPr>
        <w:t xml:space="preserve">un consensus émerge dans les sociétés démocratiques </w:t>
      </w:r>
      <w:r w:rsidR="00802FD2" w:rsidRPr="004618D5">
        <w:rPr>
          <w:bCs/>
          <w:lang w:val="fr-FR"/>
        </w:rPr>
        <w:t xml:space="preserve">qui veut, selon eux, </w:t>
      </w:r>
      <w:r w:rsidR="0049278B" w:rsidRPr="004618D5">
        <w:rPr>
          <w:bCs/>
          <w:lang w:val="fr-FR"/>
        </w:rPr>
        <w:t>qu</w:t>
      </w:r>
      <w:r w:rsidR="004618D5" w:rsidRPr="004618D5">
        <w:rPr>
          <w:bCs/>
          <w:lang w:val="fr-FR"/>
        </w:rPr>
        <w:t>’</w:t>
      </w:r>
      <w:r w:rsidR="0049278B" w:rsidRPr="004618D5">
        <w:rPr>
          <w:bCs/>
          <w:lang w:val="fr-FR"/>
        </w:rPr>
        <w:t xml:space="preserve">un </w:t>
      </w:r>
      <w:r w:rsidR="001E192E" w:rsidRPr="004618D5">
        <w:rPr>
          <w:bCs/>
          <w:lang w:val="fr-FR"/>
        </w:rPr>
        <w:t>g</w:t>
      </w:r>
      <w:r w:rsidR="0049278B" w:rsidRPr="004618D5">
        <w:rPr>
          <w:bCs/>
          <w:lang w:val="fr-FR"/>
        </w:rPr>
        <w:t xml:space="preserve">ouvernement ne </w:t>
      </w:r>
      <w:r w:rsidR="001E192E" w:rsidRPr="004618D5">
        <w:rPr>
          <w:bCs/>
          <w:lang w:val="fr-FR"/>
        </w:rPr>
        <w:t>p</w:t>
      </w:r>
      <w:r w:rsidR="0057758D" w:rsidRPr="004618D5">
        <w:rPr>
          <w:bCs/>
          <w:lang w:val="fr-FR"/>
        </w:rPr>
        <w:t>uisse</w:t>
      </w:r>
      <w:r w:rsidR="001E192E" w:rsidRPr="004618D5">
        <w:rPr>
          <w:bCs/>
          <w:lang w:val="fr-FR"/>
        </w:rPr>
        <w:t xml:space="preserve"> </w:t>
      </w:r>
      <w:r w:rsidR="0049278B" w:rsidRPr="004618D5">
        <w:rPr>
          <w:bCs/>
          <w:lang w:val="fr-FR"/>
        </w:rPr>
        <w:t xml:space="preserve">pas </w:t>
      </w:r>
      <w:r w:rsidR="001D6F2C" w:rsidRPr="004618D5">
        <w:rPr>
          <w:bCs/>
          <w:lang w:val="fr-FR"/>
        </w:rPr>
        <w:t xml:space="preserve">réserver </w:t>
      </w:r>
      <w:r w:rsidR="0049278B" w:rsidRPr="004618D5">
        <w:rPr>
          <w:bCs/>
          <w:lang w:val="fr-FR"/>
        </w:rPr>
        <w:t xml:space="preserve">un certain droit ou avantage aux couples mariés et </w:t>
      </w:r>
      <w:r w:rsidR="009F5A18" w:rsidRPr="004618D5">
        <w:rPr>
          <w:bCs/>
          <w:lang w:val="fr-FR"/>
        </w:rPr>
        <w:t xml:space="preserve">en </w:t>
      </w:r>
      <w:r w:rsidR="0049278B" w:rsidRPr="004618D5">
        <w:rPr>
          <w:bCs/>
          <w:lang w:val="fr-FR"/>
        </w:rPr>
        <w:t xml:space="preserve">nier </w:t>
      </w:r>
      <w:r w:rsidR="009F5A18" w:rsidRPr="004618D5">
        <w:rPr>
          <w:bCs/>
          <w:lang w:val="fr-FR"/>
        </w:rPr>
        <w:t>l</w:t>
      </w:r>
      <w:r w:rsidR="004618D5" w:rsidRPr="004618D5">
        <w:rPr>
          <w:bCs/>
          <w:lang w:val="fr-FR"/>
        </w:rPr>
        <w:t>’</w:t>
      </w:r>
      <w:r w:rsidR="0049278B" w:rsidRPr="004618D5">
        <w:rPr>
          <w:bCs/>
          <w:lang w:val="fr-FR"/>
        </w:rPr>
        <w:t xml:space="preserve">accès aux couples homosexuels sous prétexte </w:t>
      </w:r>
      <w:r w:rsidR="00802FD2" w:rsidRPr="004618D5">
        <w:rPr>
          <w:bCs/>
          <w:lang w:val="fr-FR"/>
        </w:rPr>
        <w:t xml:space="preserve">que les personnes </w:t>
      </w:r>
      <w:r w:rsidR="001E192E" w:rsidRPr="004618D5">
        <w:rPr>
          <w:bCs/>
          <w:lang w:val="fr-FR"/>
        </w:rPr>
        <w:t xml:space="preserve">en question </w:t>
      </w:r>
      <w:r w:rsidR="0049278B" w:rsidRPr="004618D5">
        <w:rPr>
          <w:bCs/>
          <w:lang w:val="fr-FR"/>
        </w:rPr>
        <w:t>ne sont pas marié</w:t>
      </w:r>
      <w:r w:rsidR="00802FD2" w:rsidRPr="004618D5">
        <w:rPr>
          <w:bCs/>
          <w:lang w:val="fr-FR"/>
        </w:rPr>
        <w:t>e</w:t>
      </w:r>
      <w:r w:rsidR="00854B7D" w:rsidRPr="004618D5">
        <w:rPr>
          <w:bCs/>
          <w:lang w:val="fr-FR"/>
        </w:rPr>
        <w:t>s.</w:t>
      </w:r>
    </w:p>
    <w:p w:rsidR="005B7C16" w:rsidRPr="004618D5" w:rsidRDefault="0049278B"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72</w:t>
      </w:r>
      <w:r w:rsidRPr="004618D5">
        <w:rPr>
          <w:lang w:val="fr-FR"/>
        </w:rPr>
        <w:fldChar w:fldCharType="end"/>
      </w:r>
      <w:r w:rsidRPr="004618D5">
        <w:rPr>
          <w:lang w:val="fr-FR"/>
        </w:rPr>
        <w:t xml:space="preserve">.  Les requérants </w:t>
      </w:r>
      <w:r w:rsidR="009F5A18" w:rsidRPr="004618D5">
        <w:rPr>
          <w:lang w:val="fr-FR"/>
        </w:rPr>
        <w:t xml:space="preserve">déclarent </w:t>
      </w:r>
      <w:r w:rsidR="007A341E" w:rsidRPr="004618D5">
        <w:rPr>
          <w:lang w:val="fr-FR"/>
        </w:rPr>
        <w:t xml:space="preserve">en outre </w:t>
      </w:r>
      <w:r w:rsidRPr="004618D5">
        <w:rPr>
          <w:lang w:val="fr-FR"/>
        </w:rPr>
        <w:t>que 2</w:t>
      </w:r>
      <w:r w:rsidR="00D100FC" w:rsidRPr="004618D5">
        <w:rPr>
          <w:lang w:val="fr-FR"/>
        </w:rPr>
        <w:t>4</w:t>
      </w:r>
      <w:r w:rsidRPr="004618D5">
        <w:rPr>
          <w:lang w:val="fr-FR"/>
        </w:rPr>
        <w:t xml:space="preserve"> États membres du Conseil de l</w:t>
      </w:r>
      <w:r w:rsidR="004618D5" w:rsidRPr="004618D5">
        <w:rPr>
          <w:lang w:val="fr-FR"/>
        </w:rPr>
        <w:t>’</w:t>
      </w:r>
      <w:r w:rsidRPr="004618D5">
        <w:rPr>
          <w:lang w:val="fr-FR"/>
        </w:rPr>
        <w:t>Europe ont adopté des lois permettant aux couples d</w:t>
      </w:r>
      <w:r w:rsidR="002A0F29" w:rsidRPr="004618D5">
        <w:rPr>
          <w:lang w:val="fr-FR"/>
        </w:rPr>
        <w:t>e</w:t>
      </w:r>
      <w:r w:rsidRPr="004618D5">
        <w:rPr>
          <w:lang w:val="fr-FR"/>
        </w:rPr>
        <w:t xml:space="preserve"> même sexe d</w:t>
      </w:r>
      <w:r w:rsidR="004618D5" w:rsidRPr="004618D5">
        <w:rPr>
          <w:lang w:val="fr-FR"/>
        </w:rPr>
        <w:t>’</w:t>
      </w:r>
      <w:r w:rsidRPr="004618D5">
        <w:rPr>
          <w:lang w:val="fr-FR"/>
        </w:rPr>
        <w:t>enregistrer leur relation (une étude sur ce point</w:t>
      </w:r>
      <w:r w:rsidR="003B18A9" w:rsidRPr="004618D5">
        <w:rPr>
          <w:lang w:val="fr-FR"/>
        </w:rPr>
        <w:t>,</w:t>
      </w:r>
      <w:r w:rsidRPr="004618D5">
        <w:rPr>
          <w:lang w:val="fr-FR"/>
        </w:rPr>
        <w:t xml:space="preserve"> </w:t>
      </w:r>
      <w:r w:rsidR="007A341E" w:rsidRPr="004618D5">
        <w:rPr>
          <w:lang w:val="fr-FR"/>
        </w:rPr>
        <w:t xml:space="preserve">qui aurait été actualisée </w:t>
      </w:r>
      <w:r w:rsidRPr="004618D5">
        <w:rPr>
          <w:lang w:val="fr-FR"/>
        </w:rPr>
        <w:t>au 30</w:t>
      </w:r>
      <w:r w:rsidR="00816BE4" w:rsidRPr="004618D5">
        <w:rPr>
          <w:lang w:val="fr-FR"/>
        </w:rPr>
        <w:t> </w:t>
      </w:r>
      <w:r w:rsidRPr="004618D5">
        <w:rPr>
          <w:lang w:val="fr-FR"/>
        </w:rPr>
        <w:t>juin</w:t>
      </w:r>
      <w:r w:rsidR="004618D5" w:rsidRPr="004618D5">
        <w:rPr>
          <w:lang w:val="fr-FR"/>
        </w:rPr>
        <w:t xml:space="preserve"> </w:t>
      </w:r>
      <w:r w:rsidRPr="004618D5">
        <w:rPr>
          <w:lang w:val="fr-FR"/>
        </w:rPr>
        <w:t>2015</w:t>
      </w:r>
      <w:r w:rsidR="003B18A9" w:rsidRPr="004618D5">
        <w:rPr>
          <w:lang w:val="fr-FR"/>
        </w:rPr>
        <w:t>,</w:t>
      </w:r>
      <w:r w:rsidRPr="004618D5">
        <w:rPr>
          <w:lang w:val="fr-FR"/>
        </w:rPr>
        <w:t xml:space="preserve"> figure dans</w:t>
      </w:r>
      <w:r w:rsidR="003B18A9" w:rsidRPr="004618D5">
        <w:rPr>
          <w:lang w:val="fr-FR"/>
        </w:rPr>
        <w:t xml:space="preserve"> l</w:t>
      </w:r>
      <w:r w:rsidR="004618D5" w:rsidRPr="004618D5">
        <w:rPr>
          <w:lang w:val="fr-FR"/>
        </w:rPr>
        <w:t>’</w:t>
      </w:r>
      <w:r w:rsidR="003B18A9" w:rsidRPr="004618D5">
        <w:rPr>
          <w:lang w:val="fr-FR"/>
        </w:rPr>
        <w:t>arrêt</w:t>
      </w:r>
      <w:r w:rsidRPr="004618D5">
        <w:rPr>
          <w:lang w:val="fr-FR"/>
        </w:rPr>
        <w:t xml:space="preserve"> </w:t>
      </w:r>
      <w:r w:rsidRPr="004618D5">
        <w:rPr>
          <w:i/>
          <w:lang w:val="fr-FR"/>
        </w:rPr>
        <w:t>Oliari et autres</w:t>
      </w:r>
      <w:r w:rsidRPr="004618D5">
        <w:rPr>
          <w:lang w:val="fr-FR"/>
        </w:rPr>
        <w:t>, précité, §§ 53</w:t>
      </w:r>
      <w:r w:rsidR="009F5A18" w:rsidRPr="004618D5">
        <w:rPr>
          <w:lang w:val="fr-FR"/>
        </w:rPr>
        <w:t xml:space="preserve"> à </w:t>
      </w:r>
      <w:r w:rsidRPr="004618D5">
        <w:rPr>
          <w:lang w:val="fr-FR"/>
        </w:rPr>
        <w:t>55)</w:t>
      </w:r>
      <w:r w:rsidR="003B18A9" w:rsidRPr="004618D5">
        <w:rPr>
          <w:lang w:val="fr-FR"/>
        </w:rPr>
        <w:t>,</w:t>
      </w:r>
      <w:r w:rsidR="005B7C16" w:rsidRPr="004618D5">
        <w:rPr>
          <w:lang w:val="fr-FR"/>
        </w:rPr>
        <w:t xml:space="preserve"> et que la possibilité d</w:t>
      </w:r>
      <w:r w:rsidR="004618D5" w:rsidRPr="004618D5">
        <w:rPr>
          <w:lang w:val="fr-FR"/>
        </w:rPr>
        <w:t>’</w:t>
      </w:r>
      <w:r w:rsidR="005B7C16" w:rsidRPr="004618D5">
        <w:rPr>
          <w:lang w:val="fr-FR"/>
        </w:rPr>
        <w:t>obtenir un permis de séjour</w:t>
      </w:r>
      <w:r w:rsidR="00086565" w:rsidRPr="004618D5">
        <w:rPr>
          <w:lang w:val="fr-FR"/>
        </w:rPr>
        <w:t>, pour un partenaire homosexuel non ressortissant de l</w:t>
      </w:r>
      <w:r w:rsidR="004618D5" w:rsidRPr="004618D5">
        <w:rPr>
          <w:lang w:val="fr-FR"/>
        </w:rPr>
        <w:t>’</w:t>
      </w:r>
      <w:r w:rsidR="00086565" w:rsidRPr="004618D5">
        <w:rPr>
          <w:lang w:val="fr-FR"/>
        </w:rPr>
        <w:t>UE</w:t>
      </w:r>
      <w:r w:rsidR="00A26310" w:rsidRPr="004618D5">
        <w:rPr>
          <w:lang w:val="fr-FR"/>
        </w:rPr>
        <w:t>,</w:t>
      </w:r>
      <w:r w:rsidR="005B7C16" w:rsidRPr="004618D5">
        <w:rPr>
          <w:lang w:val="fr-FR"/>
        </w:rPr>
        <w:t xml:space="preserve"> existe dans </w:t>
      </w:r>
      <w:r w:rsidR="00D100FC" w:rsidRPr="004618D5">
        <w:rPr>
          <w:lang w:val="fr-FR"/>
        </w:rPr>
        <w:t>31</w:t>
      </w:r>
      <w:r w:rsidR="005B7C16" w:rsidRPr="004618D5">
        <w:rPr>
          <w:lang w:val="fr-FR"/>
        </w:rPr>
        <w:t xml:space="preserve"> États</w:t>
      </w:r>
      <w:r w:rsidR="001D6F2C" w:rsidRPr="004618D5">
        <w:rPr>
          <w:lang w:val="fr-FR"/>
        </w:rPr>
        <w:t xml:space="preserve"> au moins</w:t>
      </w:r>
      <w:r w:rsidR="005B7C16" w:rsidRPr="004618D5">
        <w:rPr>
          <w:lang w:val="fr-FR"/>
        </w:rPr>
        <w:t xml:space="preserve">. </w:t>
      </w:r>
      <w:r w:rsidR="00086565" w:rsidRPr="004618D5">
        <w:rPr>
          <w:lang w:val="fr-FR"/>
        </w:rPr>
        <w:t>Ils estiment que l</w:t>
      </w:r>
      <w:r w:rsidR="005B7C16" w:rsidRPr="004618D5">
        <w:rPr>
          <w:lang w:val="fr-FR"/>
        </w:rPr>
        <w:t xml:space="preserve">e consensus européen sur ce point </w:t>
      </w:r>
      <w:r w:rsidR="00086565" w:rsidRPr="004618D5">
        <w:rPr>
          <w:lang w:val="fr-FR"/>
        </w:rPr>
        <w:t xml:space="preserve">est </w:t>
      </w:r>
      <w:r w:rsidR="005B7C16" w:rsidRPr="004618D5">
        <w:rPr>
          <w:lang w:val="fr-FR"/>
        </w:rPr>
        <w:t>donc aujourd</w:t>
      </w:r>
      <w:r w:rsidR="004618D5" w:rsidRPr="004618D5">
        <w:rPr>
          <w:lang w:val="fr-FR"/>
        </w:rPr>
        <w:t>’</w:t>
      </w:r>
      <w:r w:rsidR="005B7C16" w:rsidRPr="004618D5">
        <w:rPr>
          <w:lang w:val="fr-FR"/>
        </w:rPr>
        <w:t>hui supérieur à celui qui avait été constaté à l</w:t>
      </w:r>
      <w:r w:rsidR="004618D5" w:rsidRPr="004618D5">
        <w:rPr>
          <w:lang w:val="fr-FR"/>
        </w:rPr>
        <w:t>’</w:t>
      </w:r>
      <w:r w:rsidR="005B7C16" w:rsidRPr="004618D5">
        <w:rPr>
          <w:lang w:val="fr-FR"/>
        </w:rPr>
        <w:t>époque de l</w:t>
      </w:r>
      <w:r w:rsidR="004618D5" w:rsidRPr="004618D5">
        <w:rPr>
          <w:lang w:val="fr-FR"/>
        </w:rPr>
        <w:t>’</w:t>
      </w:r>
      <w:r w:rsidR="005B7C16" w:rsidRPr="004618D5">
        <w:rPr>
          <w:lang w:val="fr-FR"/>
        </w:rPr>
        <w:t xml:space="preserve">adoption des arrêts </w:t>
      </w:r>
      <w:r w:rsidR="005B7C16" w:rsidRPr="004618D5">
        <w:rPr>
          <w:i/>
          <w:lang w:val="fr-FR"/>
        </w:rPr>
        <w:t>Schalk et Kopf</w:t>
      </w:r>
      <w:r w:rsidR="005B7C16" w:rsidRPr="004618D5">
        <w:rPr>
          <w:lang w:val="fr-FR"/>
        </w:rPr>
        <w:t xml:space="preserve"> et </w:t>
      </w:r>
      <w:r w:rsidR="005B7C16" w:rsidRPr="004618D5">
        <w:rPr>
          <w:i/>
          <w:lang w:val="fr-FR"/>
        </w:rPr>
        <w:t>Gas et Dubois</w:t>
      </w:r>
      <w:r w:rsidR="00086565" w:rsidRPr="004618D5">
        <w:rPr>
          <w:i/>
          <w:lang w:val="fr-FR"/>
        </w:rPr>
        <w:t xml:space="preserve"> </w:t>
      </w:r>
      <w:r w:rsidR="007A341E" w:rsidRPr="004618D5">
        <w:rPr>
          <w:lang w:val="fr-FR"/>
        </w:rPr>
        <w:t>(</w:t>
      </w:r>
      <w:r w:rsidR="00C63406" w:rsidRPr="004618D5">
        <w:rPr>
          <w:lang w:val="fr-FR"/>
        </w:rPr>
        <w:t>précités</w:t>
      </w:r>
      <w:r w:rsidR="007A341E" w:rsidRPr="004618D5">
        <w:rPr>
          <w:lang w:val="fr-FR"/>
        </w:rPr>
        <w:t>)</w:t>
      </w:r>
      <w:r w:rsidR="005B7C16" w:rsidRPr="004618D5">
        <w:rPr>
          <w:lang w:val="fr-FR"/>
        </w:rPr>
        <w:t>.</w:t>
      </w:r>
    </w:p>
    <w:p w:rsidR="00911788" w:rsidRPr="004618D5" w:rsidRDefault="005B7C16"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73</w:t>
      </w:r>
      <w:r w:rsidRPr="004618D5">
        <w:rPr>
          <w:lang w:val="fr-FR"/>
        </w:rPr>
        <w:fldChar w:fldCharType="end"/>
      </w:r>
      <w:r w:rsidRPr="004618D5">
        <w:rPr>
          <w:lang w:val="fr-FR"/>
        </w:rPr>
        <w:t>.  Les requérants précisent enfin que le but de leur requête n</w:t>
      </w:r>
      <w:r w:rsidR="004618D5" w:rsidRPr="004618D5">
        <w:rPr>
          <w:lang w:val="fr-FR"/>
        </w:rPr>
        <w:t>’</w:t>
      </w:r>
      <w:r w:rsidRPr="004618D5">
        <w:rPr>
          <w:lang w:val="fr-FR"/>
        </w:rPr>
        <w:t>est d</w:t>
      </w:r>
      <w:r w:rsidR="004618D5" w:rsidRPr="004618D5">
        <w:rPr>
          <w:lang w:val="fr-FR"/>
        </w:rPr>
        <w:t>’</w:t>
      </w:r>
      <w:r w:rsidRPr="004618D5">
        <w:rPr>
          <w:lang w:val="fr-FR"/>
        </w:rPr>
        <w:t>obtenir ni un droit au mariage ni l</w:t>
      </w:r>
      <w:r w:rsidR="004618D5" w:rsidRPr="004618D5">
        <w:rPr>
          <w:lang w:val="fr-FR"/>
        </w:rPr>
        <w:t>’</w:t>
      </w:r>
      <w:r w:rsidRPr="004618D5">
        <w:rPr>
          <w:lang w:val="fr-FR"/>
        </w:rPr>
        <w:t xml:space="preserve">accès à une forme de partenariat enregistré. Ils </w:t>
      </w:r>
      <w:r w:rsidR="00C10015" w:rsidRPr="004618D5">
        <w:rPr>
          <w:lang w:val="fr-FR"/>
        </w:rPr>
        <w:t>expliquent qu</w:t>
      </w:r>
      <w:r w:rsidR="004618D5" w:rsidRPr="004618D5">
        <w:rPr>
          <w:lang w:val="fr-FR"/>
        </w:rPr>
        <w:t>’</w:t>
      </w:r>
      <w:r w:rsidR="00C10015" w:rsidRPr="004618D5">
        <w:rPr>
          <w:lang w:val="fr-FR"/>
        </w:rPr>
        <w:t xml:space="preserve">ils </w:t>
      </w:r>
      <w:r w:rsidRPr="004618D5">
        <w:rPr>
          <w:lang w:val="fr-FR"/>
        </w:rPr>
        <w:t>demandent simplement à la Cour d</w:t>
      </w:r>
      <w:r w:rsidR="003B18A9" w:rsidRPr="004618D5">
        <w:rPr>
          <w:lang w:val="fr-FR"/>
        </w:rPr>
        <w:t>e développer</w:t>
      </w:r>
      <w:r w:rsidRPr="004618D5">
        <w:rPr>
          <w:lang w:val="fr-FR"/>
        </w:rPr>
        <w:t xml:space="preserve"> la jurisprudence </w:t>
      </w:r>
      <w:r w:rsidRPr="004618D5">
        <w:rPr>
          <w:i/>
          <w:lang w:val="fr-FR"/>
        </w:rPr>
        <w:t xml:space="preserve">Karner c. Autriche </w:t>
      </w:r>
      <w:r w:rsidRPr="004618D5">
        <w:rPr>
          <w:lang w:val="fr-FR"/>
        </w:rPr>
        <w:t>(n</w:t>
      </w:r>
      <w:r w:rsidR="00B55B33" w:rsidRPr="004618D5">
        <w:rPr>
          <w:vertAlign w:val="superscript"/>
          <w:lang w:val="fr-FR"/>
        </w:rPr>
        <w:t>o</w:t>
      </w:r>
      <w:r w:rsidRPr="004618D5">
        <w:rPr>
          <w:lang w:val="fr-FR"/>
        </w:rPr>
        <w:t xml:space="preserve"> </w:t>
      </w:r>
      <w:r w:rsidR="00143840" w:rsidRPr="004618D5">
        <w:rPr>
          <w:lang w:val="fr-FR"/>
        </w:rPr>
        <w:t>40016/98</w:t>
      </w:r>
      <w:r w:rsidRPr="004618D5">
        <w:rPr>
          <w:lang w:val="fr-FR"/>
        </w:rPr>
        <w:t xml:space="preserve">, </w:t>
      </w:r>
      <w:r w:rsidR="008664AF" w:rsidRPr="004618D5">
        <w:rPr>
          <w:lang w:val="fr-FR"/>
        </w:rPr>
        <w:t>CEDH</w:t>
      </w:r>
      <w:r w:rsidR="00B91082" w:rsidRPr="004618D5">
        <w:rPr>
          <w:lang w:val="fr-FR"/>
        </w:rPr>
        <w:t> </w:t>
      </w:r>
      <w:r w:rsidR="008664AF" w:rsidRPr="004618D5">
        <w:rPr>
          <w:lang w:val="fr-FR"/>
        </w:rPr>
        <w:t>2003</w:t>
      </w:r>
      <w:r w:rsidR="008664AF" w:rsidRPr="004618D5">
        <w:rPr>
          <w:lang w:val="fr-FR"/>
        </w:rPr>
        <w:noBreakHyphen/>
      </w:r>
      <w:r w:rsidR="00143840" w:rsidRPr="004618D5">
        <w:rPr>
          <w:lang w:val="fr-FR"/>
        </w:rPr>
        <w:t>IX</w:t>
      </w:r>
      <w:r w:rsidRPr="004618D5">
        <w:rPr>
          <w:lang w:val="fr-FR"/>
        </w:rPr>
        <w:t>) et d</w:t>
      </w:r>
      <w:r w:rsidR="004618D5" w:rsidRPr="004618D5">
        <w:rPr>
          <w:lang w:val="fr-FR"/>
        </w:rPr>
        <w:t>’</w:t>
      </w:r>
      <w:r w:rsidRPr="004618D5">
        <w:rPr>
          <w:lang w:val="fr-FR"/>
        </w:rPr>
        <w:t>affirmer qu</w:t>
      </w:r>
      <w:r w:rsidR="004618D5" w:rsidRPr="004618D5">
        <w:rPr>
          <w:lang w:val="fr-FR"/>
        </w:rPr>
        <w:t>’</w:t>
      </w:r>
      <w:r w:rsidRPr="004618D5">
        <w:rPr>
          <w:lang w:val="fr-FR"/>
        </w:rPr>
        <w:t xml:space="preserve">exclure </w:t>
      </w:r>
      <w:r w:rsidR="00A26310" w:rsidRPr="004618D5">
        <w:rPr>
          <w:lang w:val="fr-FR"/>
        </w:rPr>
        <w:t>l</w:t>
      </w:r>
      <w:r w:rsidRPr="004618D5">
        <w:rPr>
          <w:lang w:val="fr-FR"/>
        </w:rPr>
        <w:t>es couples d</w:t>
      </w:r>
      <w:r w:rsidR="002A0F29" w:rsidRPr="004618D5">
        <w:rPr>
          <w:lang w:val="fr-FR"/>
        </w:rPr>
        <w:t>e</w:t>
      </w:r>
      <w:r w:rsidRPr="004618D5">
        <w:rPr>
          <w:lang w:val="fr-FR"/>
        </w:rPr>
        <w:t xml:space="preserve"> même sexe du droit </w:t>
      </w:r>
      <w:r w:rsidR="00A26310" w:rsidRPr="004618D5">
        <w:rPr>
          <w:lang w:val="fr-FR"/>
        </w:rPr>
        <w:t>au</w:t>
      </w:r>
      <w:r w:rsidRPr="004618D5">
        <w:rPr>
          <w:lang w:val="fr-FR"/>
        </w:rPr>
        <w:t xml:space="preserve"> permis de séjour </w:t>
      </w:r>
      <w:r w:rsidR="00C10015" w:rsidRPr="004618D5">
        <w:rPr>
          <w:lang w:val="fr-FR"/>
        </w:rPr>
        <w:t>pour raison familiale</w:t>
      </w:r>
      <w:r w:rsidRPr="004618D5">
        <w:rPr>
          <w:lang w:val="fr-FR"/>
        </w:rPr>
        <w:t xml:space="preserve"> est discriminatoire.</w:t>
      </w:r>
      <w:r w:rsidR="00C63406" w:rsidRPr="004618D5">
        <w:rPr>
          <w:lang w:val="fr-FR"/>
        </w:rPr>
        <w:t xml:space="preserve"> </w:t>
      </w:r>
      <w:r w:rsidR="00C10015" w:rsidRPr="004618D5">
        <w:rPr>
          <w:lang w:val="fr-FR"/>
        </w:rPr>
        <w:t xml:space="preserve">Ils </w:t>
      </w:r>
      <w:r w:rsidR="007A341E" w:rsidRPr="004618D5">
        <w:rPr>
          <w:lang w:val="fr-FR"/>
        </w:rPr>
        <w:t>considère</w:t>
      </w:r>
      <w:r w:rsidR="00C10015" w:rsidRPr="004618D5">
        <w:rPr>
          <w:lang w:val="fr-FR"/>
        </w:rPr>
        <w:t>nt que, e</w:t>
      </w:r>
      <w:r w:rsidR="00C63406" w:rsidRPr="004618D5">
        <w:rPr>
          <w:lang w:val="fr-FR"/>
        </w:rPr>
        <w:t>n ce qui concerne d</w:t>
      </w:r>
      <w:r w:rsidR="004618D5" w:rsidRPr="004618D5">
        <w:rPr>
          <w:lang w:val="fr-FR"/>
        </w:rPr>
        <w:t>’</w:t>
      </w:r>
      <w:r w:rsidR="00C63406" w:rsidRPr="004618D5">
        <w:rPr>
          <w:lang w:val="fr-FR"/>
        </w:rPr>
        <w:t>autres droits reconnus aux couples mariés, la Cour pourra décider au cas par cas, distinguant, par exemple, le droit à l</w:t>
      </w:r>
      <w:r w:rsidR="004618D5" w:rsidRPr="004618D5">
        <w:rPr>
          <w:lang w:val="fr-FR"/>
        </w:rPr>
        <w:t>’</w:t>
      </w:r>
      <w:r w:rsidR="00C63406" w:rsidRPr="004618D5">
        <w:rPr>
          <w:lang w:val="fr-FR"/>
        </w:rPr>
        <w:t>obtention du permis de séjour du droit à l</w:t>
      </w:r>
      <w:r w:rsidR="004618D5" w:rsidRPr="004618D5">
        <w:rPr>
          <w:lang w:val="fr-FR"/>
        </w:rPr>
        <w:t>’</w:t>
      </w:r>
      <w:r w:rsidR="00C63406" w:rsidRPr="004618D5">
        <w:rPr>
          <w:lang w:val="fr-FR"/>
        </w:rPr>
        <w:t xml:space="preserve">adoption. Ainsi, </w:t>
      </w:r>
      <w:r w:rsidR="00C10015" w:rsidRPr="004618D5">
        <w:rPr>
          <w:lang w:val="fr-FR"/>
        </w:rPr>
        <w:t xml:space="preserve">selon eux, </w:t>
      </w:r>
      <w:r w:rsidR="00C63406" w:rsidRPr="004618D5">
        <w:rPr>
          <w:lang w:val="fr-FR"/>
        </w:rPr>
        <w:t xml:space="preserve">conclure à une violation </w:t>
      </w:r>
      <w:r w:rsidR="00793F1E" w:rsidRPr="004618D5">
        <w:rPr>
          <w:lang w:val="fr-FR"/>
        </w:rPr>
        <w:t>de l</w:t>
      </w:r>
      <w:r w:rsidR="004618D5" w:rsidRPr="004618D5">
        <w:rPr>
          <w:lang w:val="fr-FR"/>
        </w:rPr>
        <w:t>’</w:t>
      </w:r>
      <w:r w:rsidR="00793F1E" w:rsidRPr="004618D5">
        <w:rPr>
          <w:lang w:val="fr-FR"/>
        </w:rPr>
        <w:t xml:space="preserve">article 14 </w:t>
      </w:r>
      <w:r w:rsidR="001E192E" w:rsidRPr="004618D5">
        <w:rPr>
          <w:lang w:val="fr-FR"/>
        </w:rPr>
        <w:t xml:space="preserve">de la Convention </w:t>
      </w:r>
      <w:r w:rsidR="00C63406" w:rsidRPr="004618D5">
        <w:rPr>
          <w:lang w:val="fr-FR"/>
        </w:rPr>
        <w:t>en l</w:t>
      </w:r>
      <w:r w:rsidR="004618D5" w:rsidRPr="004618D5">
        <w:rPr>
          <w:lang w:val="fr-FR"/>
        </w:rPr>
        <w:t>’</w:t>
      </w:r>
      <w:r w:rsidR="00A26310" w:rsidRPr="004618D5">
        <w:rPr>
          <w:lang w:val="fr-FR"/>
        </w:rPr>
        <w:t>espèce</w:t>
      </w:r>
      <w:r w:rsidR="00C63406" w:rsidRPr="004618D5">
        <w:rPr>
          <w:lang w:val="fr-FR"/>
        </w:rPr>
        <w:t xml:space="preserve"> ne serait pas incompatible avec les conclusions auxquelles la Cour est parvenue dans </w:t>
      </w:r>
      <w:r w:rsidR="00A26310" w:rsidRPr="004618D5">
        <w:rPr>
          <w:lang w:val="fr-FR"/>
        </w:rPr>
        <w:t>son arrêt</w:t>
      </w:r>
      <w:r w:rsidR="00C63406" w:rsidRPr="004618D5">
        <w:rPr>
          <w:lang w:val="fr-FR"/>
        </w:rPr>
        <w:t xml:space="preserve"> </w:t>
      </w:r>
      <w:r w:rsidR="00C63406" w:rsidRPr="004618D5">
        <w:rPr>
          <w:i/>
          <w:lang w:val="fr-FR"/>
        </w:rPr>
        <w:t>Gas et Dubois</w:t>
      </w:r>
      <w:r w:rsidR="00C63406" w:rsidRPr="004618D5">
        <w:rPr>
          <w:lang w:val="fr-FR"/>
        </w:rPr>
        <w:t xml:space="preserve"> </w:t>
      </w:r>
      <w:r w:rsidR="007A341E" w:rsidRPr="004618D5">
        <w:rPr>
          <w:lang w:val="fr-FR"/>
        </w:rPr>
        <w:t>(</w:t>
      </w:r>
      <w:r w:rsidR="00C63406" w:rsidRPr="004618D5">
        <w:rPr>
          <w:lang w:val="fr-FR"/>
        </w:rPr>
        <w:t>précité</w:t>
      </w:r>
      <w:r w:rsidR="007A341E" w:rsidRPr="004618D5">
        <w:rPr>
          <w:lang w:val="fr-FR"/>
        </w:rPr>
        <w:t>)</w:t>
      </w:r>
      <w:r w:rsidR="00A877B6" w:rsidRPr="004618D5">
        <w:rPr>
          <w:lang w:val="fr-FR"/>
        </w:rPr>
        <w:t>.</w:t>
      </w:r>
    </w:p>
    <w:p w:rsidR="00310392" w:rsidRPr="004618D5" w:rsidRDefault="00C92B5D" w:rsidP="004618D5">
      <w:pPr>
        <w:pStyle w:val="ECHRHeading5"/>
        <w:rPr>
          <w:lang w:val="fr-FR"/>
        </w:rPr>
      </w:pPr>
      <w:r w:rsidRPr="004618D5">
        <w:rPr>
          <w:lang w:val="fr-FR"/>
        </w:rPr>
        <w:t>iii.</w:t>
      </w:r>
      <w:r w:rsidR="00310392" w:rsidRPr="004618D5">
        <w:rPr>
          <w:lang w:val="fr-FR"/>
        </w:rPr>
        <w:t>  Les tiers intervenants</w:t>
      </w:r>
    </w:p>
    <w:p w:rsidR="00310392" w:rsidRPr="004618D5" w:rsidRDefault="00C92B5D" w:rsidP="004618D5">
      <w:pPr>
        <w:pStyle w:val="ECHRHeading6"/>
        <w:rPr>
          <w:i w:val="0"/>
          <w:lang w:val="fr-FR"/>
        </w:rPr>
      </w:pPr>
      <w:r w:rsidRPr="004618D5">
        <w:rPr>
          <w:rFonts w:cstheme="majorHAnsi"/>
          <w:i w:val="0"/>
          <w:lang w:val="fr-FR"/>
        </w:rPr>
        <w:t>α</w:t>
      </w:r>
      <w:r w:rsidRPr="004618D5">
        <w:rPr>
          <w:i w:val="0"/>
          <w:lang w:val="fr-FR"/>
        </w:rPr>
        <w:t>)</w:t>
      </w:r>
      <w:r w:rsidR="00410A64" w:rsidRPr="004618D5">
        <w:rPr>
          <w:i w:val="0"/>
          <w:lang w:val="fr-FR"/>
        </w:rPr>
        <w:t>  </w:t>
      </w:r>
      <w:r w:rsidR="00460215" w:rsidRPr="004618D5">
        <w:rPr>
          <w:i w:val="0"/>
          <w:lang w:val="fr-FR"/>
        </w:rPr>
        <w:t>International Commission of Jurists</w:t>
      </w:r>
      <w:r w:rsidR="00310392" w:rsidRPr="004618D5">
        <w:rPr>
          <w:i w:val="0"/>
          <w:lang w:val="fr-FR"/>
        </w:rPr>
        <w:t> </w:t>
      </w:r>
      <w:r w:rsidR="00460215" w:rsidRPr="004618D5">
        <w:rPr>
          <w:i w:val="0"/>
          <w:lang w:val="fr-FR"/>
        </w:rPr>
        <w:t>(</w:t>
      </w:r>
      <w:r w:rsidR="00310392" w:rsidRPr="004618D5">
        <w:rPr>
          <w:i w:val="0"/>
          <w:lang w:val="fr-FR"/>
        </w:rPr>
        <w:t>ICJ</w:t>
      </w:r>
      <w:r w:rsidR="00460215" w:rsidRPr="004618D5">
        <w:rPr>
          <w:i w:val="0"/>
          <w:lang w:val="fr-FR"/>
        </w:rPr>
        <w:t>)</w:t>
      </w:r>
      <w:r w:rsidR="00310392" w:rsidRPr="004618D5">
        <w:rPr>
          <w:i w:val="0"/>
          <w:lang w:val="fr-FR"/>
        </w:rPr>
        <w:t xml:space="preserve">, </w:t>
      </w:r>
      <w:r w:rsidR="00460215" w:rsidRPr="004618D5">
        <w:rPr>
          <w:i w:val="0"/>
          <w:lang w:val="fr-FR"/>
        </w:rPr>
        <w:t>International Lesbian, Gay, Bisexual Trans and Intersex Association (</w:t>
      </w:r>
      <w:r w:rsidR="00310392" w:rsidRPr="004618D5">
        <w:rPr>
          <w:i w:val="0"/>
          <w:lang w:val="fr-FR"/>
        </w:rPr>
        <w:t>ILGA</w:t>
      </w:r>
      <w:r w:rsidR="00460215" w:rsidRPr="004618D5">
        <w:rPr>
          <w:i w:val="0"/>
          <w:lang w:val="fr-FR"/>
        </w:rPr>
        <w:t xml:space="preserve">) </w:t>
      </w:r>
      <w:r w:rsidR="00310392" w:rsidRPr="004618D5">
        <w:rPr>
          <w:i w:val="0"/>
          <w:lang w:val="fr-FR"/>
        </w:rPr>
        <w:t xml:space="preserve">Europe et </w:t>
      </w:r>
      <w:r w:rsidR="00460215" w:rsidRPr="004618D5">
        <w:rPr>
          <w:i w:val="0"/>
          <w:lang w:val="fr-FR"/>
        </w:rPr>
        <w:t>Network of European LGBT Families (</w:t>
      </w:r>
      <w:r w:rsidR="00310392" w:rsidRPr="004618D5">
        <w:rPr>
          <w:i w:val="0"/>
          <w:lang w:val="fr-FR"/>
        </w:rPr>
        <w:t>NELFA</w:t>
      </w:r>
      <w:r w:rsidR="00460215" w:rsidRPr="004618D5">
        <w:rPr>
          <w:i w:val="0"/>
          <w:lang w:val="fr-FR"/>
        </w:rPr>
        <w:t>)</w:t>
      </w:r>
    </w:p>
    <w:p w:rsidR="003B18A9"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74</w:t>
      </w:r>
      <w:r w:rsidRPr="004618D5">
        <w:rPr>
          <w:lang w:val="fr-FR"/>
        </w:rPr>
        <w:fldChar w:fldCharType="end"/>
      </w:r>
      <w:r w:rsidR="00E77CB3" w:rsidRPr="004618D5">
        <w:rPr>
          <w:lang w:val="fr-FR"/>
        </w:rPr>
        <w:t>.  </w:t>
      </w:r>
      <w:r w:rsidR="00C10015" w:rsidRPr="004618D5">
        <w:rPr>
          <w:lang w:val="fr-FR"/>
        </w:rPr>
        <w:t>L</w:t>
      </w:r>
      <w:r w:rsidR="004618D5" w:rsidRPr="004618D5">
        <w:rPr>
          <w:lang w:val="fr-FR"/>
        </w:rPr>
        <w:t>’</w:t>
      </w:r>
      <w:r w:rsidR="00460215" w:rsidRPr="004618D5">
        <w:rPr>
          <w:lang w:val="fr-FR"/>
        </w:rPr>
        <w:t xml:space="preserve">ICJ, </w:t>
      </w:r>
      <w:r w:rsidR="00C10015" w:rsidRPr="004618D5">
        <w:rPr>
          <w:lang w:val="fr-FR"/>
        </w:rPr>
        <w:t>l</w:t>
      </w:r>
      <w:r w:rsidR="004618D5" w:rsidRPr="004618D5">
        <w:rPr>
          <w:lang w:val="fr-FR"/>
        </w:rPr>
        <w:t>’</w:t>
      </w:r>
      <w:r w:rsidR="00460215" w:rsidRPr="004618D5">
        <w:rPr>
          <w:lang w:val="fr-FR"/>
        </w:rPr>
        <w:t xml:space="preserve">ILGA-Europe et </w:t>
      </w:r>
      <w:r w:rsidR="00BA0076" w:rsidRPr="004618D5">
        <w:rPr>
          <w:lang w:val="fr-FR"/>
        </w:rPr>
        <w:t xml:space="preserve">le </w:t>
      </w:r>
      <w:r w:rsidR="00460215" w:rsidRPr="004618D5">
        <w:rPr>
          <w:lang w:val="fr-FR"/>
        </w:rPr>
        <w:t xml:space="preserve">NELFA </w:t>
      </w:r>
      <w:r w:rsidR="007C231F" w:rsidRPr="004618D5">
        <w:rPr>
          <w:lang w:val="fr-FR"/>
        </w:rPr>
        <w:t>ont pr</w:t>
      </w:r>
      <w:r w:rsidR="003B18A9" w:rsidRPr="004618D5">
        <w:rPr>
          <w:lang w:val="fr-FR"/>
        </w:rPr>
        <w:t>oduit</w:t>
      </w:r>
      <w:r w:rsidR="007C231F" w:rsidRPr="004618D5">
        <w:rPr>
          <w:lang w:val="fr-FR"/>
        </w:rPr>
        <w:t xml:space="preserve"> des informations tendant à démontrer que plusieurs juridictions dans le monde considèrent le partenaire d</w:t>
      </w:r>
      <w:r w:rsidR="004618D5" w:rsidRPr="004618D5">
        <w:rPr>
          <w:lang w:val="fr-FR"/>
        </w:rPr>
        <w:t>’</w:t>
      </w:r>
      <w:r w:rsidR="007C231F" w:rsidRPr="004618D5">
        <w:rPr>
          <w:lang w:val="fr-FR"/>
        </w:rPr>
        <w:t>un couple d</w:t>
      </w:r>
      <w:r w:rsidR="002A0F29" w:rsidRPr="004618D5">
        <w:rPr>
          <w:lang w:val="fr-FR"/>
        </w:rPr>
        <w:t>e</w:t>
      </w:r>
      <w:r w:rsidR="007C231F" w:rsidRPr="004618D5">
        <w:rPr>
          <w:lang w:val="fr-FR"/>
        </w:rPr>
        <w:t xml:space="preserve"> même sexe engagé dans une relation stable et durable comme un « membre de la famille », et ce indépendamment du fait que le couple a ou non la possibilité de se marier ou d</w:t>
      </w:r>
      <w:r w:rsidR="004618D5" w:rsidRPr="004618D5">
        <w:rPr>
          <w:lang w:val="fr-FR"/>
        </w:rPr>
        <w:t>’</w:t>
      </w:r>
      <w:r w:rsidR="007C231F" w:rsidRPr="004618D5">
        <w:rPr>
          <w:lang w:val="fr-FR"/>
        </w:rPr>
        <w:t xml:space="preserve">obtenir une autre </w:t>
      </w:r>
      <w:r w:rsidR="00C90689" w:rsidRPr="004618D5">
        <w:rPr>
          <w:lang w:val="fr-FR"/>
        </w:rPr>
        <w:t>forme de reconnaissance légale.</w:t>
      </w:r>
    </w:p>
    <w:p w:rsidR="007F1B42" w:rsidRPr="004618D5" w:rsidRDefault="003B18A9"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75</w:t>
      </w:r>
      <w:r w:rsidRPr="004618D5">
        <w:rPr>
          <w:lang w:val="fr-FR"/>
        </w:rPr>
        <w:fldChar w:fldCharType="end"/>
      </w:r>
      <w:r w:rsidRPr="004618D5">
        <w:rPr>
          <w:lang w:val="fr-FR"/>
        </w:rPr>
        <w:t>.  </w:t>
      </w:r>
      <w:r w:rsidR="008745BB" w:rsidRPr="004618D5">
        <w:rPr>
          <w:lang w:val="fr-FR"/>
        </w:rPr>
        <w:t xml:space="preserve">Les tiers intervenants </w:t>
      </w:r>
      <w:r w:rsidR="00BA0076" w:rsidRPr="004618D5">
        <w:rPr>
          <w:lang w:val="fr-FR"/>
        </w:rPr>
        <w:t xml:space="preserve">déclarent avoir </w:t>
      </w:r>
      <w:r w:rsidR="008745BB" w:rsidRPr="004618D5">
        <w:rPr>
          <w:lang w:val="fr-FR"/>
        </w:rPr>
        <w:t>d</w:t>
      </w:r>
      <w:r w:rsidR="004618D5" w:rsidRPr="004618D5">
        <w:rPr>
          <w:lang w:val="fr-FR"/>
        </w:rPr>
        <w:t>’</w:t>
      </w:r>
      <w:r w:rsidR="008745BB" w:rsidRPr="004618D5">
        <w:rPr>
          <w:lang w:val="fr-FR"/>
        </w:rPr>
        <w:t>abord examiné la législation et la pratique de plusieurs États</w:t>
      </w:r>
      <w:r w:rsidR="00AC6E2C" w:rsidRPr="004618D5">
        <w:rPr>
          <w:lang w:val="fr-FR"/>
        </w:rPr>
        <w:t xml:space="preserve"> non européens</w:t>
      </w:r>
      <w:r w:rsidR="00B27B36" w:rsidRPr="004618D5">
        <w:rPr>
          <w:lang w:val="fr-FR"/>
        </w:rPr>
        <w:t xml:space="preserve"> (Afrique du Sud, Australie, </w:t>
      </w:r>
      <w:r w:rsidR="00B27B36" w:rsidRPr="004618D5">
        <w:rPr>
          <w:lang w:val="fr-FR"/>
        </w:rPr>
        <w:lastRenderedPageBreak/>
        <w:t>Bré</w:t>
      </w:r>
      <w:r w:rsidR="008745BB" w:rsidRPr="004618D5">
        <w:rPr>
          <w:lang w:val="fr-FR"/>
        </w:rPr>
        <w:t>sil, Canada, Colombie, Israël et Nouvelle</w:t>
      </w:r>
      <w:r w:rsidR="00BA0076" w:rsidRPr="004618D5">
        <w:rPr>
          <w:lang w:val="fr-FR"/>
        </w:rPr>
        <w:t>-</w:t>
      </w:r>
      <w:r w:rsidR="008745BB" w:rsidRPr="004618D5">
        <w:rPr>
          <w:lang w:val="fr-FR"/>
        </w:rPr>
        <w:t>Zélande)</w:t>
      </w:r>
      <w:r w:rsidR="007C231F" w:rsidRPr="004618D5">
        <w:rPr>
          <w:lang w:val="fr-FR"/>
        </w:rPr>
        <w:t xml:space="preserve"> </w:t>
      </w:r>
      <w:r w:rsidR="00B27B36" w:rsidRPr="004618D5">
        <w:rPr>
          <w:lang w:val="fr-FR"/>
        </w:rPr>
        <w:t>qui permette</w:t>
      </w:r>
      <w:r w:rsidR="008745BB" w:rsidRPr="004618D5">
        <w:rPr>
          <w:lang w:val="fr-FR"/>
        </w:rPr>
        <w:t>nt aux partenaires d</w:t>
      </w:r>
      <w:r w:rsidR="002A0F29" w:rsidRPr="004618D5">
        <w:rPr>
          <w:lang w:val="fr-FR"/>
        </w:rPr>
        <w:t>e</w:t>
      </w:r>
      <w:r w:rsidR="008745BB" w:rsidRPr="004618D5">
        <w:rPr>
          <w:lang w:val="fr-FR"/>
        </w:rPr>
        <w:t xml:space="preserve"> même sexe d</w:t>
      </w:r>
      <w:r w:rsidR="004618D5" w:rsidRPr="004618D5">
        <w:rPr>
          <w:lang w:val="fr-FR"/>
        </w:rPr>
        <w:t>’</w:t>
      </w:r>
      <w:r w:rsidR="008745BB" w:rsidRPr="004618D5">
        <w:rPr>
          <w:lang w:val="fr-FR"/>
        </w:rPr>
        <w:t>émigrer et de résider dans leurs pays d</w:t>
      </w:r>
      <w:r w:rsidR="004618D5" w:rsidRPr="004618D5">
        <w:rPr>
          <w:lang w:val="fr-FR"/>
        </w:rPr>
        <w:t>’</w:t>
      </w:r>
      <w:r w:rsidR="008745BB" w:rsidRPr="004618D5">
        <w:rPr>
          <w:lang w:val="fr-FR"/>
        </w:rPr>
        <w:t>origine respectifs</w:t>
      </w:r>
      <w:r w:rsidR="00BA0076" w:rsidRPr="004618D5">
        <w:rPr>
          <w:lang w:val="fr-FR"/>
        </w:rPr>
        <w:t>, avant d</w:t>
      </w:r>
      <w:r w:rsidR="004618D5" w:rsidRPr="004618D5">
        <w:rPr>
          <w:lang w:val="fr-FR"/>
        </w:rPr>
        <w:t>’</w:t>
      </w:r>
      <w:r w:rsidR="00BA0076" w:rsidRPr="004618D5">
        <w:rPr>
          <w:lang w:val="fr-FR"/>
        </w:rPr>
        <w:t>aborder</w:t>
      </w:r>
      <w:r w:rsidR="008745BB" w:rsidRPr="004618D5">
        <w:rPr>
          <w:lang w:val="fr-FR"/>
        </w:rPr>
        <w:t xml:space="preserve"> le concept de « familles fonctionnelles</w:t>
      </w:r>
      <w:r w:rsidR="008A7045" w:rsidRPr="004618D5">
        <w:rPr>
          <w:lang w:val="fr-FR"/>
        </w:rPr>
        <w:t> »</w:t>
      </w:r>
      <w:r w:rsidR="008745BB" w:rsidRPr="004618D5">
        <w:rPr>
          <w:lang w:val="fr-FR"/>
        </w:rPr>
        <w:t xml:space="preserve"> (</w:t>
      </w:r>
      <w:r w:rsidR="008745BB" w:rsidRPr="004618D5">
        <w:rPr>
          <w:i/>
          <w:lang w:val="fr-FR"/>
        </w:rPr>
        <w:t>functional families</w:t>
      </w:r>
      <w:r w:rsidR="008745BB" w:rsidRPr="004618D5">
        <w:rPr>
          <w:lang w:val="fr-FR"/>
        </w:rPr>
        <w:t>)</w:t>
      </w:r>
      <w:r w:rsidR="004640B3" w:rsidRPr="004618D5">
        <w:rPr>
          <w:lang w:val="fr-FR"/>
        </w:rPr>
        <w:t>. Ce concept,</w:t>
      </w:r>
      <w:r w:rsidR="008A7045" w:rsidRPr="004618D5">
        <w:rPr>
          <w:lang w:val="fr-FR"/>
        </w:rPr>
        <w:t xml:space="preserve"> au lieu de se focaliser sur l</w:t>
      </w:r>
      <w:r w:rsidR="004618D5" w:rsidRPr="004618D5">
        <w:rPr>
          <w:lang w:val="fr-FR"/>
        </w:rPr>
        <w:t>’</w:t>
      </w:r>
      <w:r w:rsidR="008A7045" w:rsidRPr="004618D5">
        <w:rPr>
          <w:lang w:val="fr-FR"/>
        </w:rPr>
        <w:t xml:space="preserve">identité et </w:t>
      </w:r>
      <w:r w:rsidR="005703DA" w:rsidRPr="004618D5">
        <w:rPr>
          <w:lang w:val="fr-FR"/>
        </w:rPr>
        <w:t>le genre</w:t>
      </w:r>
      <w:r w:rsidR="008A7045" w:rsidRPr="004618D5">
        <w:rPr>
          <w:lang w:val="fr-FR"/>
        </w:rPr>
        <w:t xml:space="preserve"> des individus engagés dans une relation, vise</w:t>
      </w:r>
      <w:r w:rsidR="004640B3" w:rsidRPr="004618D5">
        <w:rPr>
          <w:lang w:val="fr-FR"/>
        </w:rPr>
        <w:t>rait</w:t>
      </w:r>
      <w:r w:rsidR="008A7045" w:rsidRPr="004618D5">
        <w:rPr>
          <w:lang w:val="fr-FR"/>
        </w:rPr>
        <w:t xml:space="preserve"> à établir si cette relation </w:t>
      </w:r>
      <w:r w:rsidR="004640B3" w:rsidRPr="004618D5">
        <w:rPr>
          <w:lang w:val="fr-FR"/>
        </w:rPr>
        <w:t>revêt</w:t>
      </w:r>
      <w:r w:rsidR="008A7045" w:rsidRPr="004618D5">
        <w:rPr>
          <w:lang w:val="fr-FR"/>
        </w:rPr>
        <w:t xml:space="preserve"> ou non </w:t>
      </w:r>
      <w:r w:rsidRPr="004618D5">
        <w:rPr>
          <w:lang w:val="fr-FR"/>
        </w:rPr>
        <w:t>certaines</w:t>
      </w:r>
      <w:r w:rsidR="008A7045" w:rsidRPr="004618D5">
        <w:rPr>
          <w:lang w:val="fr-FR"/>
        </w:rPr>
        <w:t xml:space="preserve"> caractéristiques essentielles (coopération économique, participation </w:t>
      </w:r>
      <w:r w:rsidR="00CE2710" w:rsidRPr="004618D5">
        <w:rPr>
          <w:lang w:val="fr-FR"/>
        </w:rPr>
        <w:t>aux</w:t>
      </w:r>
      <w:r w:rsidR="008A7045" w:rsidRPr="004618D5">
        <w:rPr>
          <w:lang w:val="fr-FR"/>
        </w:rPr>
        <w:t xml:space="preserve"> responsabilités domestiques, existence de liens affectifs). </w:t>
      </w:r>
      <w:r w:rsidR="00BA0076" w:rsidRPr="004618D5">
        <w:rPr>
          <w:lang w:val="fr-FR"/>
        </w:rPr>
        <w:t>Selon eux, g</w:t>
      </w:r>
      <w:r w:rsidR="008A7045" w:rsidRPr="004618D5">
        <w:rPr>
          <w:lang w:val="fr-FR"/>
        </w:rPr>
        <w:t>râce à ce concept,</w:t>
      </w:r>
      <w:r w:rsidR="008745BB" w:rsidRPr="004618D5">
        <w:rPr>
          <w:lang w:val="fr-FR"/>
        </w:rPr>
        <w:t xml:space="preserve"> les juridictions de certains pays (</w:t>
      </w:r>
      <w:r w:rsidR="008A7045" w:rsidRPr="004618D5">
        <w:rPr>
          <w:lang w:val="fr-FR"/>
        </w:rPr>
        <w:t>Afrique du Sud, Australie, Canada, Colombie, États-Unis, Israël et Royaume-Uni</w:t>
      </w:r>
      <w:r w:rsidR="008745BB" w:rsidRPr="004618D5">
        <w:rPr>
          <w:lang w:val="fr-FR"/>
        </w:rPr>
        <w:t>) ont reconnu les couples homosexuel</w:t>
      </w:r>
      <w:r w:rsidR="00B27B36" w:rsidRPr="004618D5">
        <w:rPr>
          <w:lang w:val="fr-FR"/>
        </w:rPr>
        <w:t>s non mariés comme étant des « familles » ou des</w:t>
      </w:r>
      <w:r w:rsidR="008745BB" w:rsidRPr="004618D5">
        <w:rPr>
          <w:lang w:val="fr-FR"/>
        </w:rPr>
        <w:t xml:space="preserve"> </w:t>
      </w:r>
      <w:r w:rsidR="00B27B36" w:rsidRPr="004618D5">
        <w:rPr>
          <w:lang w:val="fr-FR"/>
        </w:rPr>
        <w:t>« </w:t>
      </w:r>
      <w:r w:rsidR="008745BB" w:rsidRPr="004618D5">
        <w:rPr>
          <w:lang w:val="fr-FR"/>
        </w:rPr>
        <w:t xml:space="preserve">époux </w:t>
      </w:r>
      <w:r w:rsidR="00966459" w:rsidRPr="004618D5">
        <w:rPr>
          <w:i/>
          <w:lang w:val="fr-FR"/>
        </w:rPr>
        <w:t>de facto</w:t>
      </w:r>
      <w:r w:rsidR="00B27B36" w:rsidRPr="004618D5">
        <w:rPr>
          <w:lang w:val="fr-FR"/>
        </w:rPr>
        <w:t> »</w:t>
      </w:r>
      <w:r w:rsidR="008745BB" w:rsidRPr="004618D5">
        <w:rPr>
          <w:lang w:val="fr-FR"/>
        </w:rPr>
        <w:t xml:space="preserve"> afin de </w:t>
      </w:r>
      <w:r w:rsidR="00742032" w:rsidRPr="004618D5">
        <w:rPr>
          <w:lang w:val="fr-FR"/>
        </w:rPr>
        <w:t>leur donner accès à certain</w:t>
      </w:r>
      <w:r w:rsidR="0057758D" w:rsidRPr="004618D5">
        <w:rPr>
          <w:lang w:val="fr-FR"/>
        </w:rPr>
        <w:t xml:space="preserve">s </w:t>
      </w:r>
      <w:r w:rsidR="00742032" w:rsidRPr="004618D5">
        <w:rPr>
          <w:lang w:val="fr-FR"/>
        </w:rPr>
        <w:t>bénéfices</w:t>
      </w:r>
      <w:r w:rsidR="008745BB" w:rsidRPr="004618D5">
        <w:rPr>
          <w:lang w:val="fr-FR"/>
        </w:rPr>
        <w:t xml:space="preserve"> (</w:t>
      </w:r>
      <w:r w:rsidR="00760DBF" w:rsidRPr="004618D5">
        <w:rPr>
          <w:lang w:val="fr-FR"/>
        </w:rPr>
        <w:t xml:space="preserve">de nature </w:t>
      </w:r>
      <w:r w:rsidR="00581A3F" w:rsidRPr="004618D5">
        <w:rPr>
          <w:lang w:val="fr-FR"/>
        </w:rPr>
        <w:t>économique</w:t>
      </w:r>
      <w:r w:rsidR="008745BB" w:rsidRPr="004618D5">
        <w:rPr>
          <w:lang w:val="fr-FR"/>
        </w:rPr>
        <w:t xml:space="preserve"> ou autre)</w:t>
      </w:r>
      <w:r w:rsidR="00C90689" w:rsidRPr="004618D5">
        <w:rPr>
          <w:lang w:val="fr-FR"/>
        </w:rPr>
        <w:t>.</w:t>
      </w:r>
    </w:p>
    <w:p w:rsidR="005F0786" w:rsidRPr="004618D5" w:rsidRDefault="007F1B42"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76</w:t>
      </w:r>
      <w:r w:rsidRPr="004618D5">
        <w:rPr>
          <w:lang w:val="fr-FR"/>
        </w:rPr>
        <w:fldChar w:fldCharType="end"/>
      </w:r>
      <w:r w:rsidRPr="004618D5">
        <w:rPr>
          <w:lang w:val="fr-FR"/>
        </w:rPr>
        <w:t>.  </w:t>
      </w:r>
      <w:r w:rsidR="00C51887" w:rsidRPr="004618D5">
        <w:rPr>
          <w:lang w:val="fr-FR"/>
        </w:rPr>
        <w:t xml:space="preserve">Enfin, </w:t>
      </w:r>
      <w:r w:rsidR="00BA0076" w:rsidRPr="004618D5">
        <w:rPr>
          <w:lang w:val="fr-FR"/>
        </w:rPr>
        <w:t>l</w:t>
      </w:r>
      <w:r w:rsidR="004618D5" w:rsidRPr="004618D5">
        <w:rPr>
          <w:lang w:val="fr-FR"/>
        </w:rPr>
        <w:t>’</w:t>
      </w:r>
      <w:r w:rsidR="00C51887" w:rsidRPr="004618D5">
        <w:rPr>
          <w:lang w:val="fr-FR"/>
        </w:rPr>
        <w:t xml:space="preserve">ICJ, </w:t>
      </w:r>
      <w:r w:rsidR="00BA0076" w:rsidRPr="004618D5">
        <w:rPr>
          <w:lang w:val="fr-FR"/>
        </w:rPr>
        <w:t>l</w:t>
      </w:r>
      <w:r w:rsidR="004618D5" w:rsidRPr="004618D5">
        <w:rPr>
          <w:lang w:val="fr-FR"/>
        </w:rPr>
        <w:t>’</w:t>
      </w:r>
      <w:r w:rsidR="00C51887" w:rsidRPr="004618D5">
        <w:rPr>
          <w:lang w:val="fr-FR"/>
        </w:rPr>
        <w:t xml:space="preserve">ILGA-Europe et </w:t>
      </w:r>
      <w:r w:rsidR="00BA0076" w:rsidRPr="004618D5">
        <w:rPr>
          <w:lang w:val="fr-FR"/>
        </w:rPr>
        <w:t xml:space="preserve">le </w:t>
      </w:r>
      <w:r w:rsidR="00C51887" w:rsidRPr="004618D5">
        <w:rPr>
          <w:lang w:val="fr-FR"/>
        </w:rPr>
        <w:t xml:space="preserve">NELFA ont indiqué que </w:t>
      </w:r>
      <w:r w:rsidR="00BA0076" w:rsidRPr="004618D5">
        <w:rPr>
          <w:lang w:val="fr-FR"/>
        </w:rPr>
        <w:t>la différence de traitement entre les</w:t>
      </w:r>
      <w:r w:rsidR="00C51887" w:rsidRPr="004618D5">
        <w:rPr>
          <w:lang w:val="fr-FR"/>
        </w:rPr>
        <w:t xml:space="preserve"> couples homosexuels </w:t>
      </w:r>
      <w:r w:rsidR="007470D2" w:rsidRPr="004618D5">
        <w:rPr>
          <w:lang w:val="fr-FR"/>
        </w:rPr>
        <w:t>n</w:t>
      </w:r>
      <w:r w:rsidR="004618D5" w:rsidRPr="004618D5">
        <w:rPr>
          <w:lang w:val="fr-FR"/>
        </w:rPr>
        <w:t>’</w:t>
      </w:r>
      <w:r w:rsidR="007470D2" w:rsidRPr="004618D5">
        <w:rPr>
          <w:lang w:val="fr-FR"/>
        </w:rPr>
        <w:t xml:space="preserve">ayant pas accès au mariage </w:t>
      </w:r>
      <w:r w:rsidR="00BA0076" w:rsidRPr="004618D5">
        <w:rPr>
          <w:lang w:val="fr-FR"/>
        </w:rPr>
        <w:t>et les</w:t>
      </w:r>
      <w:r w:rsidR="00C51887" w:rsidRPr="004618D5">
        <w:rPr>
          <w:lang w:val="fr-FR"/>
        </w:rPr>
        <w:t xml:space="preserve"> couples mariés a été </w:t>
      </w:r>
      <w:r w:rsidR="00BA0076" w:rsidRPr="004618D5">
        <w:rPr>
          <w:lang w:val="fr-FR"/>
        </w:rPr>
        <w:t>considéré</w:t>
      </w:r>
      <w:r w:rsidR="001E192E" w:rsidRPr="004618D5">
        <w:rPr>
          <w:lang w:val="fr-FR"/>
        </w:rPr>
        <w:t>e</w:t>
      </w:r>
      <w:r w:rsidR="00BA0076" w:rsidRPr="004618D5">
        <w:rPr>
          <w:lang w:val="fr-FR"/>
        </w:rPr>
        <w:t xml:space="preserve"> par les juridictions sud-africaines, canadiennes et américaines </w:t>
      </w:r>
      <w:r w:rsidR="00C51887" w:rsidRPr="004618D5">
        <w:rPr>
          <w:lang w:val="fr-FR"/>
        </w:rPr>
        <w:t>comme une forme de discrimination indirecte</w:t>
      </w:r>
      <w:r w:rsidR="007470D2" w:rsidRPr="004618D5">
        <w:rPr>
          <w:lang w:val="fr-FR"/>
        </w:rPr>
        <w:t xml:space="preserve"> (c</w:t>
      </w:r>
      <w:r w:rsidR="004618D5" w:rsidRPr="004618D5">
        <w:rPr>
          <w:lang w:val="fr-FR"/>
        </w:rPr>
        <w:t>’</w:t>
      </w:r>
      <w:r w:rsidR="007470D2" w:rsidRPr="004618D5">
        <w:rPr>
          <w:lang w:val="fr-FR"/>
        </w:rPr>
        <w:t xml:space="preserve">est-à-dire une discrimination découlant des répercussions négatives que des lois </w:t>
      </w:r>
      <w:r w:rsidR="00BA0076" w:rsidRPr="004618D5">
        <w:rPr>
          <w:lang w:val="fr-FR"/>
        </w:rPr>
        <w:t>d</w:t>
      </w:r>
      <w:r w:rsidR="004618D5" w:rsidRPr="004618D5">
        <w:rPr>
          <w:lang w:val="fr-FR"/>
        </w:rPr>
        <w:t>’</w:t>
      </w:r>
      <w:r w:rsidR="007470D2" w:rsidRPr="004618D5">
        <w:rPr>
          <w:lang w:val="fr-FR"/>
        </w:rPr>
        <w:t xml:space="preserve">apparence neutre </w:t>
      </w:r>
      <w:r w:rsidR="00881BED" w:rsidRPr="004618D5">
        <w:rPr>
          <w:lang w:val="fr-FR"/>
        </w:rPr>
        <w:t>peuvent avoir</w:t>
      </w:r>
      <w:r w:rsidR="007470D2" w:rsidRPr="004618D5">
        <w:rPr>
          <w:lang w:val="fr-FR"/>
        </w:rPr>
        <w:t xml:space="preserve"> pour un group</w:t>
      </w:r>
      <w:r w:rsidR="00BA0076" w:rsidRPr="004618D5">
        <w:rPr>
          <w:lang w:val="fr-FR"/>
        </w:rPr>
        <w:t>e</w:t>
      </w:r>
      <w:r w:rsidR="007470D2" w:rsidRPr="004618D5">
        <w:rPr>
          <w:lang w:val="fr-FR"/>
        </w:rPr>
        <w:t xml:space="preserve"> déterminé méritant protection</w:t>
      </w:r>
      <w:r w:rsidR="00BA0076" w:rsidRPr="004618D5">
        <w:rPr>
          <w:lang w:val="fr-FR"/>
        </w:rPr>
        <w:t>). Ils précisent que, e</w:t>
      </w:r>
      <w:r w:rsidR="007470D2" w:rsidRPr="004618D5">
        <w:rPr>
          <w:lang w:val="fr-FR"/>
        </w:rPr>
        <w:t xml:space="preserve">n particulier lorsque les couples </w:t>
      </w:r>
      <w:r w:rsidR="00BA0076" w:rsidRPr="004618D5">
        <w:rPr>
          <w:lang w:val="fr-FR"/>
        </w:rPr>
        <w:t xml:space="preserve">de </w:t>
      </w:r>
      <w:r w:rsidR="007470D2" w:rsidRPr="004618D5">
        <w:rPr>
          <w:lang w:val="fr-FR"/>
        </w:rPr>
        <w:t xml:space="preserve">même sexe ne peuvent pas se marier, leur situation ne </w:t>
      </w:r>
      <w:r w:rsidR="00816BE4" w:rsidRPr="004618D5">
        <w:rPr>
          <w:lang w:val="fr-FR"/>
        </w:rPr>
        <w:t xml:space="preserve">doit </w:t>
      </w:r>
      <w:r w:rsidR="007470D2" w:rsidRPr="004618D5">
        <w:rPr>
          <w:lang w:val="fr-FR"/>
        </w:rPr>
        <w:t xml:space="preserve">pas être comparée à celle des couples hétérosexuels non mariés mais à celle des couples hétérosexuels mariés. </w:t>
      </w:r>
      <w:r w:rsidR="00153AF1" w:rsidRPr="004618D5">
        <w:rPr>
          <w:lang w:val="fr-FR"/>
        </w:rPr>
        <w:t>Cela</w:t>
      </w:r>
      <w:r w:rsidR="005F0786" w:rsidRPr="004618D5">
        <w:rPr>
          <w:lang w:val="fr-FR"/>
        </w:rPr>
        <w:t xml:space="preserve"> </w:t>
      </w:r>
      <w:r w:rsidR="00816BE4" w:rsidRPr="004618D5">
        <w:rPr>
          <w:lang w:val="fr-FR"/>
        </w:rPr>
        <w:t>ressort</w:t>
      </w:r>
      <w:r w:rsidR="00153AF1" w:rsidRPr="004618D5">
        <w:rPr>
          <w:lang w:val="fr-FR"/>
        </w:rPr>
        <w:t>irait</w:t>
      </w:r>
      <w:r w:rsidR="00816BE4" w:rsidRPr="004618D5">
        <w:rPr>
          <w:lang w:val="fr-FR"/>
        </w:rPr>
        <w:t xml:space="preserve"> </w:t>
      </w:r>
      <w:r w:rsidR="005F0786" w:rsidRPr="004618D5">
        <w:rPr>
          <w:lang w:val="fr-FR"/>
        </w:rPr>
        <w:t xml:space="preserve">également de la </w:t>
      </w:r>
      <w:r w:rsidRPr="004618D5">
        <w:rPr>
          <w:lang w:val="fr-FR"/>
        </w:rPr>
        <w:t>pratique</w:t>
      </w:r>
      <w:r w:rsidR="005F0786" w:rsidRPr="004618D5">
        <w:rPr>
          <w:lang w:val="fr-FR"/>
        </w:rPr>
        <w:t xml:space="preserve"> du Comité des </w:t>
      </w:r>
      <w:r w:rsidRPr="004618D5">
        <w:rPr>
          <w:lang w:val="fr-FR"/>
        </w:rPr>
        <w:t>d</w:t>
      </w:r>
      <w:r w:rsidR="005F0786" w:rsidRPr="004618D5">
        <w:rPr>
          <w:lang w:val="fr-FR"/>
        </w:rPr>
        <w:t>roits de l</w:t>
      </w:r>
      <w:r w:rsidR="004618D5" w:rsidRPr="004618D5">
        <w:rPr>
          <w:lang w:val="fr-FR"/>
        </w:rPr>
        <w:t>’</w:t>
      </w:r>
      <w:r w:rsidRPr="004618D5">
        <w:rPr>
          <w:lang w:val="fr-FR"/>
        </w:rPr>
        <w:t>h</w:t>
      </w:r>
      <w:r w:rsidR="005F0786" w:rsidRPr="004618D5">
        <w:rPr>
          <w:lang w:val="fr-FR"/>
        </w:rPr>
        <w:t xml:space="preserve">omme des Nations </w:t>
      </w:r>
      <w:r w:rsidRPr="004618D5">
        <w:rPr>
          <w:lang w:val="fr-FR"/>
        </w:rPr>
        <w:t>u</w:t>
      </w:r>
      <w:r w:rsidR="005F0786" w:rsidRPr="004618D5">
        <w:rPr>
          <w:lang w:val="fr-FR"/>
        </w:rPr>
        <w:t xml:space="preserve">nies, qui a souligné que les couples hétérosexuels peuvent librement décider </w:t>
      </w:r>
      <w:r w:rsidR="0069572E" w:rsidRPr="004618D5">
        <w:rPr>
          <w:lang w:val="fr-FR"/>
        </w:rPr>
        <w:t xml:space="preserve">de </w:t>
      </w:r>
      <w:r w:rsidR="00C90689" w:rsidRPr="004618D5">
        <w:rPr>
          <w:lang w:val="fr-FR"/>
        </w:rPr>
        <w:t>se marier.</w:t>
      </w:r>
    </w:p>
    <w:bookmarkStart w:id="4" w:name="ObsICJetc3"/>
    <w:p w:rsidR="00E77CB3" w:rsidRPr="004618D5" w:rsidRDefault="005F0786"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77</w:t>
      </w:r>
      <w:r w:rsidRPr="004618D5">
        <w:rPr>
          <w:lang w:val="fr-FR"/>
        </w:rPr>
        <w:fldChar w:fldCharType="end"/>
      </w:r>
      <w:bookmarkEnd w:id="4"/>
      <w:r w:rsidRPr="004618D5">
        <w:rPr>
          <w:lang w:val="fr-FR"/>
        </w:rPr>
        <w:t>.  </w:t>
      </w:r>
      <w:r w:rsidRPr="004618D5">
        <w:rPr>
          <w:rFonts w:cstheme="minorHAnsi"/>
          <w:lang w:val="fr-FR"/>
        </w:rPr>
        <w:t>À</w:t>
      </w:r>
      <w:r w:rsidRPr="004618D5">
        <w:rPr>
          <w:lang w:val="fr-FR"/>
        </w:rPr>
        <w:t xml:space="preserve"> la lumière de ce qui précède, </w:t>
      </w:r>
      <w:r w:rsidR="00BA0076" w:rsidRPr="004618D5">
        <w:rPr>
          <w:lang w:val="fr-FR"/>
        </w:rPr>
        <w:t>l</w:t>
      </w:r>
      <w:r w:rsidR="004618D5" w:rsidRPr="004618D5">
        <w:rPr>
          <w:lang w:val="fr-FR"/>
        </w:rPr>
        <w:t>’</w:t>
      </w:r>
      <w:r w:rsidRPr="004618D5">
        <w:rPr>
          <w:lang w:val="fr-FR"/>
        </w:rPr>
        <w:t xml:space="preserve">ICJ, </w:t>
      </w:r>
      <w:r w:rsidR="00BA0076" w:rsidRPr="004618D5">
        <w:rPr>
          <w:lang w:val="fr-FR"/>
        </w:rPr>
        <w:t>l</w:t>
      </w:r>
      <w:r w:rsidR="004618D5" w:rsidRPr="004618D5">
        <w:rPr>
          <w:lang w:val="fr-FR"/>
        </w:rPr>
        <w:t>’</w:t>
      </w:r>
      <w:r w:rsidRPr="004618D5">
        <w:rPr>
          <w:lang w:val="fr-FR"/>
        </w:rPr>
        <w:t xml:space="preserve">ILGA-Europe et </w:t>
      </w:r>
      <w:r w:rsidR="00BA0076" w:rsidRPr="004618D5">
        <w:rPr>
          <w:lang w:val="fr-FR"/>
        </w:rPr>
        <w:t xml:space="preserve">le </w:t>
      </w:r>
      <w:r w:rsidRPr="004618D5">
        <w:rPr>
          <w:lang w:val="fr-FR"/>
        </w:rPr>
        <w:t xml:space="preserve">NELFA estiment </w:t>
      </w:r>
      <w:r w:rsidR="00B5317C" w:rsidRPr="004618D5">
        <w:rPr>
          <w:lang w:val="fr-FR"/>
        </w:rPr>
        <w:t>qu</w:t>
      </w:r>
      <w:r w:rsidR="004618D5" w:rsidRPr="004618D5">
        <w:rPr>
          <w:lang w:val="fr-FR"/>
        </w:rPr>
        <w:t>’</w:t>
      </w:r>
      <w:r w:rsidR="00B5317C" w:rsidRPr="004618D5">
        <w:rPr>
          <w:lang w:val="fr-FR"/>
        </w:rPr>
        <w:t xml:space="preserve">il </w:t>
      </w:r>
      <w:r w:rsidR="00BA0076" w:rsidRPr="004618D5">
        <w:rPr>
          <w:lang w:val="fr-FR"/>
        </w:rPr>
        <w:t>existe</w:t>
      </w:r>
      <w:r w:rsidR="00B5317C" w:rsidRPr="004618D5">
        <w:rPr>
          <w:lang w:val="fr-FR"/>
        </w:rPr>
        <w:t>, au niveau mondial, une « tendance significative »</w:t>
      </w:r>
      <w:r w:rsidR="00881BED" w:rsidRPr="004618D5">
        <w:rPr>
          <w:lang w:val="fr-FR"/>
        </w:rPr>
        <w:t xml:space="preserve"> (</w:t>
      </w:r>
      <w:r w:rsidR="00BA0076" w:rsidRPr="004618D5">
        <w:rPr>
          <w:lang w:val="fr-FR"/>
        </w:rPr>
        <w:t>« </w:t>
      </w:r>
      <w:r w:rsidR="00881BED" w:rsidRPr="004618D5">
        <w:rPr>
          <w:i/>
          <w:lang w:val="fr-FR"/>
        </w:rPr>
        <w:t>significant trend</w:t>
      </w:r>
      <w:r w:rsidR="00BA0076" w:rsidRPr="004618D5">
        <w:rPr>
          <w:i/>
          <w:lang w:val="fr-FR"/>
        </w:rPr>
        <w:t> »</w:t>
      </w:r>
      <w:r w:rsidR="00881BED" w:rsidRPr="004618D5">
        <w:rPr>
          <w:lang w:val="fr-FR"/>
        </w:rPr>
        <w:t>)</w:t>
      </w:r>
      <w:r w:rsidR="00B5317C" w:rsidRPr="004618D5">
        <w:rPr>
          <w:lang w:val="fr-FR"/>
        </w:rPr>
        <w:t xml:space="preserve"> </w:t>
      </w:r>
      <w:r w:rsidR="00153AF1" w:rsidRPr="004618D5">
        <w:rPr>
          <w:lang w:val="fr-FR"/>
        </w:rPr>
        <w:t>en faveur de</w:t>
      </w:r>
      <w:r w:rsidR="00BA0076" w:rsidRPr="004618D5">
        <w:rPr>
          <w:lang w:val="fr-FR"/>
        </w:rPr>
        <w:t xml:space="preserve"> la reconnaissance</w:t>
      </w:r>
      <w:r w:rsidR="00B5317C" w:rsidRPr="004618D5">
        <w:rPr>
          <w:lang w:val="fr-FR"/>
        </w:rPr>
        <w:t xml:space="preserve"> </w:t>
      </w:r>
      <w:r w:rsidR="001D6F2C" w:rsidRPr="004618D5">
        <w:rPr>
          <w:lang w:val="fr-FR"/>
        </w:rPr>
        <w:t xml:space="preserve">aux partenaires de même sexe </w:t>
      </w:r>
      <w:r w:rsidR="006E2937" w:rsidRPr="004618D5">
        <w:rPr>
          <w:lang w:val="fr-FR"/>
        </w:rPr>
        <w:t>de la qualité de « membres de la famille »</w:t>
      </w:r>
      <w:r w:rsidR="001D6F2C" w:rsidRPr="004618D5">
        <w:rPr>
          <w:lang w:val="fr-FR"/>
        </w:rPr>
        <w:t>,</w:t>
      </w:r>
      <w:r w:rsidR="00881BED" w:rsidRPr="004618D5">
        <w:rPr>
          <w:lang w:val="fr-FR"/>
        </w:rPr>
        <w:t xml:space="preserve"> de</w:t>
      </w:r>
      <w:r w:rsidR="00B5317C" w:rsidRPr="004618D5">
        <w:rPr>
          <w:lang w:val="fr-FR"/>
        </w:rPr>
        <w:t xml:space="preserve"> leur droit de vivre ensemble ainsi que </w:t>
      </w:r>
      <w:r w:rsidR="006E2937" w:rsidRPr="004618D5">
        <w:rPr>
          <w:lang w:val="fr-FR"/>
        </w:rPr>
        <w:t>de</w:t>
      </w:r>
      <w:r w:rsidR="00B5317C" w:rsidRPr="004618D5">
        <w:rPr>
          <w:lang w:val="fr-FR"/>
        </w:rPr>
        <w:t>s autres droit</w:t>
      </w:r>
      <w:r w:rsidR="00B27B36" w:rsidRPr="004618D5">
        <w:rPr>
          <w:lang w:val="fr-FR"/>
        </w:rPr>
        <w:t>s</w:t>
      </w:r>
      <w:r w:rsidR="00B5317C" w:rsidRPr="004618D5">
        <w:rPr>
          <w:lang w:val="fr-FR"/>
        </w:rPr>
        <w:t xml:space="preserve"> et bénéfices dont jouis</w:t>
      </w:r>
      <w:r w:rsidR="00C90689" w:rsidRPr="004618D5">
        <w:rPr>
          <w:lang w:val="fr-FR"/>
        </w:rPr>
        <w:t>sent les couples hétérosexuels.</w:t>
      </w:r>
    </w:p>
    <w:p w:rsidR="00310392" w:rsidRPr="004618D5" w:rsidRDefault="00153AF1" w:rsidP="004618D5">
      <w:pPr>
        <w:pStyle w:val="ECHRHeading6"/>
        <w:rPr>
          <w:i w:val="0"/>
          <w:lang w:val="fr-FR"/>
        </w:rPr>
      </w:pPr>
      <w:r w:rsidRPr="004618D5">
        <w:rPr>
          <w:rFonts w:cstheme="majorHAnsi"/>
          <w:i w:val="0"/>
          <w:lang w:val="fr-FR"/>
        </w:rPr>
        <w:t>β</w:t>
      </w:r>
      <w:r w:rsidR="00C92B5D" w:rsidRPr="004618D5">
        <w:rPr>
          <w:i w:val="0"/>
          <w:lang w:val="fr-FR"/>
        </w:rPr>
        <w:t>)</w:t>
      </w:r>
      <w:r w:rsidR="00310392" w:rsidRPr="004618D5">
        <w:rPr>
          <w:i w:val="0"/>
          <w:lang w:val="fr-FR"/>
        </w:rPr>
        <w:t>  </w:t>
      </w:r>
      <w:r w:rsidR="00CE4407" w:rsidRPr="004618D5">
        <w:rPr>
          <w:i w:val="0"/>
          <w:lang w:val="fr-FR"/>
        </w:rPr>
        <w:t>European Commission on Sexual Orientation Law (</w:t>
      </w:r>
      <w:r w:rsidR="005D2411" w:rsidRPr="004618D5">
        <w:rPr>
          <w:i w:val="0"/>
          <w:lang w:val="fr-FR"/>
        </w:rPr>
        <w:t>ECSOL</w:t>
      </w:r>
      <w:r w:rsidR="00CE4407" w:rsidRPr="004618D5">
        <w:rPr>
          <w:i w:val="0"/>
          <w:lang w:val="fr-FR"/>
        </w:rPr>
        <w:t>)</w:t>
      </w:r>
    </w:p>
    <w:bookmarkStart w:id="5" w:name="ObsECSOL1"/>
    <w:p w:rsidR="00E2112A"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78</w:t>
      </w:r>
      <w:r w:rsidRPr="004618D5">
        <w:rPr>
          <w:lang w:val="fr-FR"/>
        </w:rPr>
        <w:fldChar w:fldCharType="end"/>
      </w:r>
      <w:bookmarkEnd w:id="5"/>
      <w:r w:rsidR="00E77CB3" w:rsidRPr="004618D5">
        <w:rPr>
          <w:lang w:val="fr-FR"/>
        </w:rPr>
        <w:t>.  </w:t>
      </w:r>
      <w:r w:rsidR="006E2937" w:rsidRPr="004618D5">
        <w:rPr>
          <w:lang w:val="fr-FR"/>
        </w:rPr>
        <w:t>L</w:t>
      </w:r>
      <w:r w:rsidR="004618D5" w:rsidRPr="004618D5">
        <w:rPr>
          <w:lang w:val="fr-FR"/>
        </w:rPr>
        <w:t>’</w:t>
      </w:r>
      <w:r w:rsidR="00460215" w:rsidRPr="004618D5">
        <w:rPr>
          <w:lang w:val="fr-FR"/>
        </w:rPr>
        <w:t xml:space="preserve">ECSOL </w:t>
      </w:r>
      <w:r w:rsidR="001E192E" w:rsidRPr="004618D5">
        <w:rPr>
          <w:lang w:val="fr-FR"/>
        </w:rPr>
        <w:t>indique</w:t>
      </w:r>
      <w:r w:rsidR="006E2937" w:rsidRPr="004618D5">
        <w:rPr>
          <w:lang w:val="fr-FR"/>
        </w:rPr>
        <w:t xml:space="preserve"> </w:t>
      </w:r>
      <w:r w:rsidR="00381684" w:rsidRPr="004618D5">
        <w:rPr>
          <w:lang w:val="fr-FR"/>
        </w:rPr>
        <w:t>tout d</w:t>
      </w:r>
      <w:r w:rsidR="004618D5" w:rsidRPr="004618D5">
        <w:rPr>
          <w:lang w:val="fr-FR"/>
        </w:rPr>
        <w:t>’</w:t>
      </w:r>
      <w:r w:rsidR="00381684" w:rsidRPr="004618D5">
        <w:rPr>
          <w:lang w:val="fr-FR"/>
        </w:rPr>
        <w:t>abord qu</w:t>
      </w:r>
      <w:r w:rsidR="004618D5" w:rsidRPr="004618D5">
        <w:rPr>
          <w:lang w:val="fr-FR"/>
        </w:rPr>
        <w:t>’</w:t>
      </w:r>
      <w:r w:rsidR="00381684" w:rsidRPr="004618D5">
        <w:rPr>
          <w:lang w:val="fr-FR"/>
        </w:rPr>
        <w:t>une analyse du droit de l</w:t>
      </w:r>
      <w:r w:rsidR="004618D5" w:rsidRPr="004618D5">
        <w:rPr>
          <w:lang w:val="fr-FR"/>
        </w:rPr>
        <w:t>’</w:t>
      </w:r>
      <w:r w:rsidR="00381684" w:rsidRPr="004618D5">
        <w:rPr>
          <w:lang w:val="fr-FR"/>
        </w:rPr>
        <w:t>U</w:t>
      </w:r>
      <w:r w:rsidR="007F1B42" w:rsidRPr="004618D5">
        <w:rPr>
          <w:lang w:val="fr-FR"/>
        </w:rPr>
        <w:t>E</w:t>
      </w:r>
      <w:r w:rsidR="00381684" w:rsidRPr="004618D5">
        <w:rPr>
          <w:lang w:val="fr-FR"/>
        </w:rPr>
        <w:t xml:space="preserve"> montre l</w:t>
      </w:r>
      <w:r w:rsidR="004618D5" w:rsidRPr="004618D5">
        <w:rPr>
          <w:lang w:val="fr-FR"/>
        </w:rPr>
        <w:t>’</w:t>
      </w:r>
      <w:r w:rsidR="00381684" w:rsidRPr="004618D5">
        <w:rPr>
          <w:lang w:val="fr-FR"/>
        </w:rPr>
        <w:t xml:space="preserve">importance </w:t>
      </w:r>
      <w:r w:rsidR="00153AF1" w:rsidRPr="004618D5">
        <w:rPr>
          <w:lang w:val="fr-FR"/>
        </w:rPr>
        <w:t>qu</w:t>
      </w:r>
      <w:r w:rsidR="004618D5" w:rsidRPr="004618D5">
        <w:rPr>
          <w:lang w:val="fr-FR"/>
        </w:rPr>
        <w:t>’</w:t>
      </w:r>
      <w:r w:rsidR="00153AF1" w:rsidRPr="004618D5">
        <w:rPr>
          <w:lang w:val="fr-FR"/>
        </w:rPr>
        <w:t xml:space="preserve">il y a à </w:t>
      </w:r>
      <w:r w:rsidR="00381684" w:rsidRPr="004618D5">
        <w:rPr>
          <w:lang w:val="fr-FR"/>
        </w:rPr>
        <w:t xml:space="preserve">accorder priorité aux relations et à la réunification </w:t>
      </w:r>
      <w:r w:rsidR="006E2937" w:rsidRPr="004618D5">
        <w:rPr>
          <w:lang w:val="fr-FR"/>
        </w:rPr>
        <w:t xml:space="preserve">familiales </w:t>
      </w:r>
      <w:r w:rsidR="00153AF1" w:rsidRPr="004618D5">
        <w:rPr>
          <w:lang w:val="fr-FR"/>
        </w:rPr>
        <w:t>au motif que</w:t>
      </w:r>
      <w:r w:rsidR="00381684" w:rsidRPr="004618D5">
        <w:rPr>
          <w:lang w:val="fr-FR"/>
        </w:rPr>
        <w:t xml:space="preserve"> la liberté de mouvement doit être exercée selon des conditions objectives de liberté et </w:t>
      </w:r>
      <w:r w:rsidR="00153AF1" w:rsidRPr="004618D5">
        <w:rPr>
          <w:lang w:val="fr-FR"/>
        </w:rPr>
        <w:t xml:space="preserve">de </w:t>
      </w:r>
      <w:r w:rsidR="00381684" w:rsidRPr="004618D5">
        <w:rPr>
          <w:lang w:val="fr-FR"/>
        </w:rPr>
        <w:t xml:space="preserve">dignité. </w:t>
      </w:r>
      <w:r w:rsidR="006E2937" w:rsidRPr="004618D5">
        <w:rPr>
          <w:lang w:val="fr-FR"/>
        </w:rPr>
        <w:t xml:space="preserve">Ainsi, selon </w:t>
      </w:r>
      <w:r w:rsidR="00153AF1" w:rsidRPr="004618D5">
        <w:rPr>
          <w:lang w:val="fr-FR"/>
        </w:rPr>
        <w:t>l</w:t>
      </w:r>
      <w:r w:rsidR="004618D5" w:rsidRPr="004618D5">
        <w:rPr>
          <w:lang w:val="fr-FR"/>
        </w:rPr>
        <w:t>’</w:t>
      </w:r>
      <w:r w:rsidR="00153AF1" w:rsidRPr="004618D5">
        <w:rPr>
          <w:lang w:val="fr-FR"/>
        </w:rPr>
        <w:t>ESCOL</w:t>
      </w:r>
      <w:r w:rsidR="006E2937" w:rsidRPr="004618D5">
        <w:rPr>
          <w:lang w:val="fr-FR"/>
        </w:rPr>
        <w:t>, l</w:t>
      </w:r>
      <w:r w:rsidR="00E2112A" w:rsidRPr="004618D5">
        <w:rPr>
          <w:lang w:val="fr-FR"/>
        </w:rPr>
        <w:t xml:space="preserve">es </w:t>
      </w:r>
      <w:r w:rsidR="00881BED" w:rsidRPr="004618D5">
        <w:rPr>
          <w:lang w:val="fr-FR"/>
        </w:rPr>
        <w:t>États</w:t>
      </w:r>
      <w:r w:rsidR="00E2112A" w:rsidRPr="004618D5">
        <w:rPr>
          <w:lang w:val="fr-FR"/>
        </w:rPr>
        <w:t xml:space="preserve"> membres doivent au moins faciliter l</w:t>
      </w:r>
      <w:r w:rsidR="004618D5" w:rsidRPr="004618D5">
        <w:rPr>
          <w:lang w:val="fr-FR"/>
        </w:rPr>
        <w:t>’</w:t>
      </w:r>
      <w:r w:rsidR="00E2112A" w:rsidRPr="004618D5">
        <w:rPr>
          <w:lang w:val="fr-FR"/>
        </w:rPr>
        <w:t>entrée et le séjour dans le pays d</w:t>
      </w:r>
      <w:r w:rsidR="004618D5" w:rsidRPr="004618D5">
        <w:rPr>
          <w:lang w:val="fr-FR"/>
        </w:rPr>
        <w:t>’</w:t>
      </w:r>
      <w:r w:rsidR="00E2112A" w:rsidRPr="004618D5">
        <w:rPr>
          <w:lang w:val="fr-FR"/>
        </w:rPr>
        <w:t xml:space="preserve">accueil du partenaire du même sexe, </w:t>
      </w:r>
      <w:r w:rsidR="006E2937" w:rsidRPr="004618D5">
        <w:rPr>
          <w:lang w:val="fr-FR"/>
        </w:rPr>
        <w:t xml:space="preserve">en </w:t>
      </w:r>
      <w:r w:rsidR="00E2112A" w:rsidRPr="004618D5">
        <w:rPr>
          <w:lang w:val="fr-FR"/>
        </w:rPr>
        <w:t>s</w:t>
      </w:r>
      <w:r w:rsidR="004618D5" w:rsidRPr="004618D5">
        <w:rPr>
          <w:lang w:val="fr-FR"/>
        </w:rPr>
        <w:t>’</w:t>
      </w:r>
      <w:r w:rsidR="00E2112A" w:rsidRPr="004618D5">
        <w:rPr>
          <w:lang w:val="fr-FR"/>
        </w:rPr>
        <w:t xml:space="preserve">efforçant </w:t>
      </w:r>
      <w:r w:rsidR="006E2937" w:rsidRPr="004618D5">
        <w:rPr>
          <w:lang w:val="fr-FR"/>
        </w:rPr>
        <w:t>d</w:t>
      </w:r>
      <w:r w:rsidR="004618D5" w:rsidRPr="004618D5">
        <w:rPr>
          <w:lang w:val="fr-FR"/>
        </w:rPr>
        <w:t>’</w:t>
      </w:r>
      <w:r w:rsidR="006E2937" w:rsidRPr="004618D5">
        <w:rPr>
          <w:lang w:val="fr-FR"/>
        </w:rPr>
        <w:t xml:space="preserve">identifier </w:t>
      </w:r>
      <w:r w:rsidR="00E2112A" w:rsidRPr="004618D5">
        <w:rPr>
          <w:lang w:val="fr-FR"/>
        </w:rPr>
        <w:t>les répercussions qu</w:t>
      </w:r>
      <w:r w:rsidR="004618D5" w:rsidRPr="004618D5">
        <w:rPr>
          <w:lang w:val="fr-FR"/>
        </w:rPr>
        <w:t>’</w:t>
      </w:r>
      <w:r w:rsidR="00E2112A" w:rsidRPr="004618D5">
        <w:rPr>
          <w:lang w:val="fr-FR"/>
        </w:rPr>
        <w:t xml:space="preserve">un éventuel refus </w:t>
      </w:r>
      <w:r w:rsidR="001E192E" w:rsidRPr="004618D5">
        <w:rPr>
          <w:lang w:val="fr-FR"/>
        </w:rPr>
        <w:t>d</w:t>
      </w:r>
      <w:r w:rsidR="004618D5" w:rsidRPr="004618D5">
        <w:rPr>
          <w:lang w:val="fr-FR"/>
        </w:rPr>
        <w:t>’</w:t>
      </w:r>
      <w:r w:rsidR="001E192E" w:rsidRPr="004618D5">
        <w:rPr>
          <w:lang w:val="fr-FR"/>
        </w:rPr>
        <w:t xml:space="preserve">octroyer un </w:t>
      </w:r>
      <w:r w:rsidR="00E2112A" w:rsidRPr="004618D5">
        <w:rPr>
          <w:lang w:val="fr-FR"/>
        </w:rPr>
        <w:t xml:space="preserve">permis de séjour pourrait avoir </w:t>
      </w:r>
      <w:r w:rsidR="007F1B42" w:rsidRPr="004618D5">
        <w:rPr>
          <w:i/>
          <w:lang w:val="fr-FR"/>
        </w:rPr>
        <w:t>in concreto</w:t>
      </w:r>
      <w:r w:rsidR="007F1B42" w:rsidRPr="004618D5">
        <w:rPr>
          <w:lang w:val="fr-FR"/>
        </w:rPr>
        <w:t xml:space="preserve"> </w:t>
      </w:r>
      <w:r w:rsidR="00E2112A" w:rsidRPr="004618D5">
        <w:rPr>
          <w:lang w:val="fr-FR"/>
        </w:rPr>
        <w:t>sur la vie privée et familiale des individus concernés.</w:t>
      </w:r>
    </w:p>
    <w:bookmarkStart w:id="6" w:name="ObsECSOL2"/>
    <w:p w:rsidR="007F1B42" w:rsidRPr="004618D5" w:rsidRDefault="00E2112A"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79</w:t>
      </w:r>
      <w:r w:rsidRPr="004618D5">
        <w:rPr>
          <w:lang w:val="fr-FR"/>
        </w:rPr>
        <w:fldChar w:fldCharType="end"/>
      </w:r>
      <w:bookmarkEnd w:id="6"/>
      <w:r w:rsidRPr="004618D5">
        <w:rPr>
          <w:lang w:val="fr-FR"/>
        </w:rPr>
        <w:t>.  </w:t>
      </w:r>
      <w:r w:rsidR="006E2937" w:rsidRPr="004618D5">
        <w:rPr>
          <w:lang w:val="fr-FR"/>
        </w:rPr>
        <w:t>L</w:t>
      </w:r>
      <w:r w:rsidR="004618D5" w:rsidRPr="004618D5">
        <w:rPr>
          <w:lang w:val="fr-FR"/>
        </w:rPr>
        <w:t>’</w:t>
      </w:r>
      <w:r w:rsidR="004F17A4" w:rsidRPr="004618D5">
        <w:rPr>
          <w:lang w:val="fr-FR"/>
        </w:rPr>
        <w:t xml:space="preserve">ECSOL </w:t>
      </w:r>
      <w:r w:rsidR="00381684" w:rsidRPr="004618D5">
        <w:rPr>
          <w:lang w:val="fr-FR"/>
        </w:rPr>
        <w:t xml:space="preserve">a </w:t>
      </w:r>
      <w:r w:rsidR="004F17A4" w:rsidRPr="004618D5">
        <w:rPr>
          <w:lang w:val="fr-FR"/>
        </w:rPr>
        <w:t xml:space="preserve">ensuite </w:t>
      </w:r>
      <w:r w:rsidR="00381684" w:rsidRPr="004618D5">
        <w:rPr>
          <w:lang w:val="fr-FR"/>
        </w:rPr>
        <w:t>présenté une étude de droit comparé quant à la possibilité, pour des partenaires homosexuels, d</w:t>
      </w:r>
      <w:r w:rsidR="004618D5" w:rsidRPr="004618D5">
        <w:rPr>
          <w:lang w:val="fr-FR"/>
        </w:rPr>
        <w:t>’</w:t>
      </w:r>
      <w:r w:rsidR="00381684" w:rsidRPr="004618D5">
        <w:rPr>
          <w:lang w:val="fr-FR"/>
        </w:rPr>
        <w:t xml:space="preserve">obtenir un permis de séjour dans </w:t>
      </w:r>
      <w:r w:rsidR="00881BED" w:rsidRPr="004618D5">
        <w:rPr>
          <w:lang w:val="fr-FR"/>
        </w:rPr>
        <w:t>des</w:t>
      </w:r>
      <w:r w:rsidR="00381684" w:rsidRPr="004618D5">
        <w:rPr>
          <w:lang w:val="fr-FR"/>
        </w:rPr>
        <w:t xml:space="preserve"> pays d</w:t>
      </w:r>
      <w:r w:rsidR="004618D5" w:rsidRPr="004618D5">
        <w:rPr>
          <w:lang w:val="fr-FR"/>
        </w:rPr>
        <w:t>’</w:t>
      </w:r>
      <w:r w:rsidR="00381684" w:rsidRPr="004618D5">
        <w:rPr>
          <w:lang w:val="fr-FR"/>
        </w:rPr>
        <w:t xml:space="preserve">accueil. </w:t>
      </w:r>
      <w:r w:rsidR="001D395E" w:rsidRPr="004618D5">
        <w:rPr>
          <w:lang w:val="fr-FR"/>
        </w:rPr>
        <w:t>Cette étude portait sur</w:t>
      </w:r>
      <w:r w:rsidR="00750302" w:rsidRPr="004618D5">
        <w:rPr>
          <w:lang w:val="fr-FR"/>
        </w:rPr>
        <w:t xml:space="preserve"> la législation de 32 </w:t>
      </w:r>
      <w:r w:rsidR="004F17A4" w:rsidRPr="004618D5">
        <w:rPr>
          <w:lang w:val="fr-FR"/>
        </w:rPr>
        <w:t xml:space="preserve">États </w:t>
      </w:r>
      <w:r w:rsidR="004F17A4" w:rsidRPr="004618D5">
        <w:rPr>
          <w:lang w:val="fr-FR"/>
        </w:rPr>
        <w:lastRenderedPageBreak/>
        <w:t>membres du Conseil de l</w:t>
      </w:r>
      <w:r w:rsidR="004618D5" w:rsidRPr="004618D5">
        <w:rPr>
          <w:lang w:val="fr-FR"/>
        </w:rPr>
        <w:t>’</w:t>
      </w:r>
      <w:r w:rsidR="004F17A4" w:rsidRPr="004618D5">
        <w:rPr>
          <w:lang w:val="fr-FR"/>
        </w:rPr>
        <w:t>Europe (</w:t>
      </w:r>
      <w:r w:rsidR="00DC0C9E" w:rsidRPr="004618D5">
        <w:rPr>
          <w:lang w:val="fr-FR"/>
        </w:rPr>
        <w:t xml:space="preserve">Allemagne, </w:t>
      </w:r>
      <w:r w:rsidR="004F17A4" w:rsidRPr="004618D5">
        <w:rPr>
          <w:lang w:val="fr-FR"/>
        </w:rPr>
        <w:t xml:space="preserve">Autriche, Belgique, Bosnie-Herzégovine, Bulgarie, Chypre, Danemark, </w:t>
      </w:r>
      <w:r w:rsidR="00DC0C9E" w:rsidRPr="004618D5">
        <w:rPr>
          <w:lang w:val="fr-FR"/>
        </w:rPr>
        <w:t xml:space="preserve">Espagne, </w:t>
      </w:r>
      <w:r w:rsidR="004F17A4" w:rsidRPr="004618D5">
        <w:rPr>
          <w:lang w:val="fr-FR"/>
        </w:rPr>
        <w:t xml:space="preserve">Estonie, Finlande, France, Géorgie, Grèce, Hongrie, Islande, Irlande, Italie, Lettonie, Liechtenstein, </w:t>
      </w:r>
      <w:r w:rsidR="004B5194" w:rsidRPr="004618D5">
        <w:rPr>
          <w:lang w:val="fr-FR"/>
        </w:rPr>
        <w:t xml:space="preserve">Luxembourg, Malte, Norvège, </w:t>
      </w:r>
      <w:r w:rsidR="00DC0C9E" w:rsidRPr="004618D5">
        <w:rPr>
          <w:lang w:val="fr-FR"/>
        </w:rPr>
        <w:t xml:space="preserve">Pays-Bas, </w:t>
      </w:r>
      <w:r w:rsidR="004B5194" w:rsidRPr="004618D5">
        <w:rPr>
          <w:lang w:val="fr-FR"/>
        </w:rPr>
        <w:t xml:space="preserve">Pologne, Portugal, </w:t>
      </w:r>
      <w:r w:rsidR="00DC0C9E" w:rsidRPr="004618D5">
        <w:rPr>
          <w:lang w:val="fr-FR"/>
        </w:rPr>
        <w:t xml:space="preserve">République </w:t>
      </w:r>
      <w:r w:rsidR="0057758D" w:rsidRPr="004618D5">
        <w:rPr>
          <w:lang w:val="fr-FR"/>
        </w:rPr>
        <w:t>t</w:t>
      </w:r>
      <w:r w:rsidR="00DC0C9E" w:rsidRPr="004618D5">
        <w:rPr>
          <w:lang w:val="fr-FR"/>
        </w:rPr>
        <w:t xml:space="preserve">chèque, Royaume-Uni, </w:t>
      </w:r>
      <w:r w:rsidR="004B5194" w:rsidRPr="004618D5">
        <w:rPr>
          <w:lang w:val="fr-FR"/>
        </w:rPr>
        <w:t>Roumanie, Russie, Serbie, Suède</w:t>
      </w:r>
      <w:r w:rsidR="00881BED" w:rsidRPr="004618D5">
        <w:rPr>
          <w:lang w:val="fr-FR"/>
        </w:rPr>
        <w:t xml:space="preserve"> et</w:t>
      </w:r>
      <w:r w:rsidR="004B5194" w:rsidRPr="004618D5">
        <w:rPr>
          <w:lang w:val="fr-FR"/>
        </w:rPr>
        <w:t xml:space="preserve"> Suisse).</w:t>
      </w:r>
      <w:r w:rsidR="00722A73" w:rsidRPr="004618D5">
        <w:rPr>
          <w:lang w:val="fr-FR"/>
        </w:rPr>
        <w:t xml:space="preserve"> Il</w:t>
      </w:r>
      <w:r w:rsidR="00D31909" w:rsidRPr="004618D5">
        <w:rPr>
          <w:lang w:val="fr-FR"/>
        </w:rPr>
        <w:t xml:space="preserve"> </w:t>
      </w:r>
      <w:r w:rsidR="001D395E" w:rsidRPr="004618D5">
        <w:rPr>
          <w:lang w:val="fr-FR"/>
        </w:rPr>
        <w:t xml:space="preserve">en </w:t>
      </w:r>
      <w:r w:rsidR="003C2A67" w:rsidRPr="004618D5">
        <w:rPr>
          <w:lang w:val="fr-FR"/>
        </w:rPr>
        <w:t>ressort :</w:t>
      </w:r>
    </w:p>
    <w:p w:rsidR="007F1B42" w:rsidRPr="004618D5" w:rsidRDefault="007F1B42" w:rsidP="004618D5">
      <w:pPr>
        <w:pStyle w:val="ECHRPara"/>
        <w:rPr>
          <w:lang w:val="fr-FR"/>
        </w:rPr>
      </w:pPr>
      <w:r w:rsidRPr="004618D5">
        <w:rPr>
          <w:lang w:val="fr-FR"/>
        </w:rPr>
        <w:t>–</w:t>
      </w:r>
      <w:r w:rsidR="00750302" w:rsidRPr="004618D5">
        <w:rPr>
          <w:lang w:val="fr-FR"/>
        </w:rPr>
        <w:t>  </w:t>
      </w:r>
      <w:r w:rsidR="00180606" w:rsidRPr="004618D5">
        <w:rPr>
          <w:lang w:val="fr-FR"/>
        </w:rPr>
        <w:t>qu</w:t>
      </w:r>
      <w:r w:rsidR="004618D5" w:rsidRPr="004618D5">
        <w:rPr>
          <w:lang w:val="fr-FR"/>
        </w:rPr>
        <w:t>’</w:t>
      </w:r>
      <w:r w:rsidR="00722A73" w:rsidRPr="004618D5">
        <w:rPr>
          <w:lang w:val="fr-FR"/>
        </w:rPr>
        <w:t>au moins 24 États n</w:t>
      </w:r>
      <w:r w:rsidR="004618D5" w:rsidRPr="004618D5">
        <w:rPr>
          <w:lang w:val="fr-FR"/>
        </w:rPr>
        <w:t>’</w:t>
      </w:r>
      <w:r w:rsidR="00722A73" w:rsidRPr="004618D5">
        <w:rPr>
          <w:lang w:val="fr-FR"/>
        </w:rPr>
        <w:t>opèrent aucune discrimination fondée sur l</w:t>
      </w:r>
      <w:r w:rsidR="004618D5" w:rsidRPr="004618D5">
        <w:rPr>
          <w:lang w:val="fr-FR"/>
        </w:rPr>
        <w:t>’</w:t>
      </w:r>
      <w:r w:rsidR="00722A73" w:rsidRPr="004618D5">
        <w:rPr>
          <w:lang w:val="fr-FR"/>
        </w:rPr>
        <w:t>orientation sexuelle dan</w:t>
      </w:r>
      <w:r w:rsidR="00D31909" w:rsidRPr="004618D5">
        <w:rPr>
          <w:lang w:val="fr-FR"/>
        </w:rPr>
        <w:t>s l</w:t>
      </w:r>
      <w:r w:rsidR="004618D5" w:rsidRPr="004618D5">
        <w:rPr>
          <w:lang w:val="fr-FR"/>
        </w:rPr>
        <w:t>’</w:t>
      </w:r>
      <w:r w:rsidR="00D31909" w:rsidRPr="004618D5">
        <w:rPr>
          <w:lang w:val="fr-FR"/>
        </w:rPr>
        <w:t xml:space="preserve">octroi des permis de séjour </w:t>
      </w:r>
      <w:r w:rsidR="00E2112A" w:rsidRPr="004618D5">
        <w:rPr>
          <w:lang w:val="fr-FR"/>
        </w:rPr>
        <w:t>et prévoient des mécanismes à cet effet (tout en laissant, dans certains cas, une marge d</w:t>
      </w:r>
      <w:r w:rsidR="004618D5" w:rsidRPr="004618D5">
        <w:rPr>
          <w:lang w:val="fr-FR"/>
        </w:rPr>
        <w:t>’</w:t>
      </w:r>
      <w:r w:rsidR="00E2112A" w:rsidRPr="004618D5">
        <w:rPr>
          <w:lang w:val="fr-FR"/>
        </w:rPr>
        <w:t>appréciation aux autorités</w:t>
      </w:r>
      <w:r w:rsidR="00881BED" w:rsidRPr="004618D5">
        <w:rPr>
          <w:lang w:val="fr-FR"/>
        </w:rPr>
        <w:t xml:space="preserve"> internes</w:t>
      </w:r>
      <w:r w:rsidR="00E2112A" w:rsidRPr="004618D5">
        <w:rPr>
          <w:lang w:val="fr-FR"/>
        </w:rPr>
        <w:t xml:space="preserve"> compétentes) </w:t>
      </w:r>
      <w:r w:rsidR="00D31909" w:rsidRPr="004618D5">
        <w:rPr>
          <w:lang w:val="fr-FR"/>
        </w:rPr>
        <w:t>;</w:t>
      </w:r>
    </w:p>
    <w:p w:rsidR="007F1B42" w:rsidRPr="004618D5" w:rsidRDefault="007F1B42" w:rsidP="004618D5">
      <w:pPr>
        <w:pStyle w:val="ECHRPara"/>
        <w:rPr>
          <w:lang w:val="fr-FR"/>
        </w:rPr>
      </w:pPr>
      <w:r w:rsidRPr="004618D5">
        <w:rPr>
          <w:lang w:val="fr-FR"/>
        </w:rPr>
        <w:t>–</w:t>
      </w:r>
      <w:r w:rsidR="00750302" w:rsidRPr="004618D5">
        <w:rPr>
          <w:lang w:val="fr-FR"/>
        </w:rPr>
        <w:t>  </w:t>
      </w:r>
      <w:r w:rsidR="00180606" w:rsidRPr="004618D5">
        <w:rPr>
          <w:lang w:val="fr-FR"/>
        </w:rPr>
        <w:t xml:space="preserve">que </w:t>
      </w:r>
      <w:r w:rsidR="00E2112A" w:rsidRPr="004618D5">
        <w:rPr>
          <w:lang w:val="fr-FR"/>
        </w:rPr>
        <w:t xml:space="preserve">22 États reconnaissent, au moins dans une certaine mesure, le droit au permis </w:t>
      </w:r>
      <w:r w:rsidR="00180606" w:rsidRPr="004618D5">
        <w:rPr>
          <w:lang w:val="fr-FR"/>
        </w:rPr>
        <w:t xml:space="preserve">de séjour </w:t>
      </w:r>
      <w:r w:rsidR="00E2112A" w:rsidRPr="004618D5">
        <w:rPr>
          <w:lang w:val="fr-FR"/>
        </w:rPr>
        <w:t>aux partenaires d</w:t>
      </w:r>
      <w:r w:rsidR="002A0F29" w:rsidRPr="004618D5">
        <w:rPr>
          <w:lang w:val="fr-FR"/>
        </w:rPr>
        <w:t>e</w:t>
      </w:r>
      <w:r w:rsidR="00E2112A" w:rsidRPr="004618D5">
        <w:rPr>
          <w:lang w:val="fr-FR"/>
        </w:rPr>
        <w:t xml:space="preserve"> même sexe non mariés et n</w:t>
      </w:r>
      <w:r w:rsidR="004618D5" w:rsidRPr="004618D5">
        <w:rPr>
          <w:lang w:val="fr-FR"/>
        </w:rPr>
        <w:t>’</w:t>
      </w:r>
      <w:r w:rsidR="00E2112A" w:rsidRPr="004618D5">
        <w:rPr>
          <w:lang w:val="fr-FR"/>
        </w:rPr>
        <w:t>ayant pas conclu un</w:t>
      </w:r>
      <w:r w:rsidR="003C2A67" w:rsidRPr="004618D5">
        <w:rPr>
          <w:lang w:val="fr-FR"/>
        </w:rPr>
        <w:t xml:space="preserve"> partenariat civil enregistré ;</w:t>
      </w:r>
    </w:p>
    <w:p w:rsidR="004618D5" w:rsidRPr="004618D5" w:rsidRDefault="007F1B42" w:rsidP="004618D5">
      <w:pPr>
        <w:pStyle w:val="ECHRPara"/>
        <w:rPr>
          <w:lang w:val="fr-FR"/>
        </w:rPr>
      </w:pPr>
      <w:r w:rsidRPr="004618D5">
        <w:rPr>
          <w:lang w:val="fr-FR"/>
        </w:rPr>
        <w:t>–</w:t>
      </w:r>
      <w:r w:rsidR="00750302" w:rsidRPr="004618D5">
        <w:rPr>
          <w:lang w:val="fr-FR"/>
        </w:rPr>
        <w:t>  </w:t>
      </w:r>
      <w:r w:rsidR="00180606" w:rsidRPr="004618D5">
        <w:rPr>
          <w:lang w:val="fr-FR"/>
        </w:rPr>
        <w:t xml:space="preserve">que </w:t>
      </w:r>
      <w:r w:rsidR="00E2112A" w:rsidRPr="004618D5">
        <w:rPr>
          <w:lang w:val="fr-FR"/>
        </w:rPr>
        <w:t>ce</w:t>
      </w:r>
      <w:r w:rsidR="00722A73" w:rsidRPr="004618D5">
        <w:rPr>
          <w:lang w:val="fr-FR"/>
        </w:rPr>
        <w:t>rtaines juridictions ont estimé que</w:t>
      </w:r>
      <w:r w:rsidR="00180606" w:rsidRPr="004618D5">
        <w:rPr>
          <w:lang w:val="fr-FR"/>
        </w:rPr>
        <w:t>,</w:t>
      </w:r>
      <w:r w:rsidR="00722A73" w:rsidRPr="004618D5">
        <w:rPr>
          <w:lang w:val="fr-FR"/>
        </w:rPr>
        <w:t xml:space="preserve"> lorsqu</w:t>
      </w:r>
      <w:r w:rsidR="004618D5" w:rsidRPr="004618D5">
        <w:rPr>
          <w:lang w:val="fr-FR"/>
        </w:rPr>
        <w:t>’</w:t>
      </w:r>
      <w:r w:rsidR="00722A73" w:rsidRPr="004618D5">
        <w:rPr>
          <w:lang w:val="fr-FR"/>
        </w:rPr>
        <w:t>une union formelle, notamment un mariage, ne peut pas être enregistrée dans le pays d</w:t>
      </w:r>
      <w:r w:rsidR="004618D5" w:rsidRPr="004618D5">
        <w:rPr>
          <w:lang w:val="fr-FR"/>
        </w:rPr>
        <w:t>’</w:t>
      </w:r>
      <w:r w:rsidR="00722A73" w:rsidRPr="004618D5">
        <w:rPr>
          <w:lang w:val="fr-FR"/>
        </w:rPr>
        <w:t xml:space="preserve">origine, une relation stable dûment prouvée peut </w:t>
      </w:r>
      <w:r w:rsidR="00180606" w:rsidRPr="004618D5">
        <w:rPr>
          <w:lang w:val="fr-FR"/>
        </w:rPr>
        <w:t xml:space="preserve">conduire </w:t>
      </w:r>
      <w:r w:rsidR="00722A73" w:rsidRPr="004618D5">
        <w:rPr>
          <w:lang w:val="fr-FR"/>
        </w:rPr>
        <w:t>à l</w:t>
      </w:r>
      <w:r w:rsidR="004618D5" w:rsidRPr="004618D5">
        <w:rPr>
          <w:lang w:val="fr-FR"/>
        </w:rPr>
        <w:t>’</w:t>
      </w:r>
      <w:r w:rsidR="00722A73" w:rsidRPr="004618D5">
        <w:rPr>
          <w:lang w:val="fr-FR"/>
        </w:rPr>
        <w:t>octroi</w:t>
      </w:r>
      <w:r w:rsidR="001D6F2C" w:rsidRPr="004618D5">
        <w:rPr>
          <w:lang w:val="fr-FR"/>
        </w:rPr>
        <w:t xml:space="preserve"> par les autorités</w:t>
      </w:r>
      <w:r w:rsidR="00722A73" w:rsidRPr="004618D5">
        <w:rPr>
          <w:lang w:val="fr-FR"/>
        </w:rPr>
        <w:t xml:space="preserve"> du permis de séjour ;</w:t>
      </w:r>
    </w:p>
    <w:p w:rsidR="007F1B42" w:rsidRPr="004618D5" w:rsidRDefault="007F1B42" w:rsidP="004618D5">
      <w:pPr>
        <w:pStyle w:val="ECHRPara"/>
        <w:rPr>
          <w:lang w:val="fr-FR"/>
        </w:rPr>
      </w:pPr>
      <w:r w:rsidRPr="004618D5">
        <w:rPr>
          <w:lang w:val="fr-FR"/>
        </w:rPr>
        <w:t>–</w:t>
      </w:r>
      <w:r w:rsidR="00750302" w:rsidRPr="004618D5">
        <w:rPr>
          <w:lang w:val="fr-FR"/>
        </w:rPr>
        <w:t>  </w:t>
      </w:r>
      <w:r w:rsidR="00180606" w:rsidRPr="004618D5">
        <w:rPr>
          <w:lang w:val="fr-FR"/>
        </w:rPr>
        <w:t>qu</w:t>
      </w:r>
      <w:r w:rsidR="004618D5" w:rsidRPr="004618D5">
        <w:rPr>
          <w:lang w:val="fr-FR"/>
        </w:rPr>
        <w:t>’</w:t>
      </w:r>
      <w:r w:rsidR="00722A73" w:rsidRPr="004618D5">
        <w:rPr>
          <w:lang w:val="fr-FR"/>
        </w:rPr>
        <w:t xml:space="preserve">une discrimination indirecte peut résulter </w:t>
      </w:r>
      <w:r w:rsidR="00153AF1" w:rsidRPr="004618D5">
        <w:rPr>
          <w:lang w:val="fr-FR"/>
        </w:rPr>
        <w:t>de l</w:t>
      </w:r>
      <w:r w:rsidR="004618D5" w:rsidRPr="004618D5">
        <w:rPr>
          <w:lang w:val="fr-FR"/>
        </w:rPr>
        <w:t>’</w:t>
      </w:r>
      <w:r w:rsidR="00153AF1" w:rsidRPr="004618D5">
        <w:rPr>
          <w:lang w:val="fr-FR"/>
        </w:rPr>
        <w:t>absence de traitement différencié de</w:t>
      </w:r>
      <w:r w:rsidR="00722A73" w:rsidRPr="004618D5">
        <w:rPr>
          <w:lang w:val="fr-FR"/>
        </w:rPr>
        <w:t xml:space="preserve"> situations différentes (par exemple, </w:t>
      </w:r>
      <w:r w:rsidR="00153AF1" w:rsidRPr="004618D5">
        <w:rPr>
          <w:lang w:val="fr-FR"/>
        </w:rPr>
        <w:t>le refus</w:t>
      </w:r>
      <w:r w:rsidR="00722A73" w:rsidRPr="004618D5">
        <w:rPr>
          <w:lang w:val="fr-FR"/>
        </w:rPr>
        <w:t xml:space="preserve"> de reconnaître l</w:t>
      </w:r>
      <w:r w:rsidR="004618D5" w:rsidRPr="004618D5">
        <w:rPr>
          <w:lang w:val="fr-FR"/>
        </w:rPr>
        <w:t>’</w:t>
      </w:r>
      <w:r w:rsidR="00722A73" w:rsidRPr="004618D5">
        <w:rPr>
          <w:lang w:val="fr-FR"/>
        </w:rPr>
        <w:t>existence d</w:t>
      </w:r>
      <w:r w:rsidR="004618D5" w:rsidRPr="004618D5">
        <w:rPr>
          <w:lang w:val="fr-FR"/>
        </w:rPr>
        <w:t>’</w:t>
      </w:r>
      <w:r w:rsidR="00722A73" w:rsidRPr="004618D5">
        <w:rPr>
          <w:lang w:val="fr-FR"/>
        </w:rPr>
        <w:t>obstacles légaux au mariage pour les couples d</w:t>
      </w:r>
      <w:r w:rsidR="002A0F29" w:rsidRPr="004618D5">
        <w:rPr>
          <w:lang w:val="fr-FR"/>
        </w:rPr>
        <w:t>e</w:t>
      </w:r>
      <w:r w:rsidR="00722A73" w:rsidRPr="004618D5">
        <w:rPr>
          <w:lang w:val="fr-FR"/>
        </w:rPr>
        <w:t xml:space="preserve"> même sexe</w:t>
      </w:r>
      <w:r w:rsidR="00881BED" w:rsidRPr="004618D5">
        <w:rPr>
          <w:lang w:val="fr-FR"/>
        </w:rPr>
        <w:t>)</w:t>
      </w:r>
      <w:r w:rsidR="003C2A67" w:rsidRPr="004618D5">
        <w:rPr>
          <w:lang w:val="fr-FR"/>
        </w:rPr>
        <w:t> ;</w:t>
      </w:r>
    </w:p>
    <w:p w:rsidR="007F1B42" w:rsidRPr="004618D5" w:rsidRDefault="007F1B42" w:rsidP="004618D5">
      <w:pPr>
        <w:pStyle w:val="ECHRPara"/>
        <w:rPr>
          <w:lang w:val="fr-FR"/>
        </w:rPr>
      </w:pPr>
      <w:r w:rsidRPr="004618D5">
        <w:rPr>
          <w:lang w:val="fr-FR"/>
        </w:rPr>
        <w:t>–</w:t>
      </w:r>
      <w:r w:rsidR="00750302" w:rsidRPr="004618D5">
        <w:rPr>
          <w:lang w:val="fr-FR"/>
        </w:rPr>
        <w:t>  </w:t>
      </w:r>
      <w:r w:rsidR="00180606" w:rsidRPr="004618D5">
        <w:rPr>
          <w:lang w:val="fr-FR"/>
        </w:rPr>
        <w:t xml:space="preserve">que </w:t>
      </w:r>
      <w:r w:rsidR="00E2112A" w:rsidRPr="004618D5">
        <w:rPr>
          <w:lang w:val="fr-FR"/>
        </w:rPr>
        <w:t>les tribunaux de certains États ont reconnu qu</w:t>
      </w:r>
      <w:r w:rsidR="00180606" w:rsidRPr="004618D5">
        <w:rPr>
          <w:lang w:val="fr-FR"/>
        </w:rPr>
        <w:t xml:space="preserve">e, </w:t>
      </w:r>
      <w:r w:rsidR="00E2112A" w:rsidRPr="004618D5">
        <w:rPr>
          <w:lang w:val="fr-FR"/>
        </w:rPr>
        <w:t>en matière d</w:t>
      </w:r>
      <w:r w:rsidR="004618D5" w:rsidRPr="004618D5">
        <w:rPr>
          <w:lang w:val="fr-FR"/>
        </w:rPr>
        <w:t>’</w:t>
      </w:r>
      <w:r w:rsidR="00E2112A" w:rsidRPr="004618D5">
        <w:rPr>
          <w:lang w:val="fr-FR"/>
        </w:rPr>
        <w:t xml:space="preserve">immigration du partenaire </w:t>
      </w:r>
      <w:r w:rsidR="00966459" w:rsidRPr="004618D5">
        <w:rPr>
          <w:i/>
          <w:lang w:val="fr-FR"/>
        </w:rPr>
        <w:t>de facto</w:t>
      </w:r>
      <w:r w:rsidR="00E2112A" w:rsidRPr="004618D5">
        <w:rPr>
          <w:lang w:val="fr-FR"/>
        </w:rPr>
        <w:t xml:space="preserve"> du même</w:t>
      </w:r>
      <w:r w:rsidR="00722A73" w:rsidRPr="004618D5">
        <w:rPr>
          <w:lang w:val="fr-FR"/>
        </w:rPr>
        <w:t xml:space="preserve"> </w:t>
      </w:r>
      <w:r w:rsidR="00E2112A" w:rsidRPr="004618D5">
        <w:rPr>
          <w:lang w:val="fr-FR"/>
        </w:rPr>
        <w:t>sexe, la Convention jou</w:t>
      </w:r>
      <w:r w:rsidR="001E192E" w:rsidRPr="004618D5">
        <w:rPr>
          <w:lang w:val="fr-FR"/>
        </w:rPr>
        <w:t>ait</w:t>
      </w:r>
      <w:r w:rsidR="00E2112A" w:rsidRPr="004618D5">
        <w:rPr>
          <w:lang w:val="fr-FR"/>
        </w:rPr>
        <w:t xml:space="preserve"> un rôle dans la protection de la vie privée et familiale</w:t>
      </w:r>
      <w:r w:rsidR="00180606" w:rsidRPr="004618D5">
        <w:rPr>
          <w:lang w:val="fr-FR"/>
        </w:rPr>
        <w:t xml:space="preserve"> </w:t>
      </w:r>
      <w:r w:rsidRPr="004618D5">
        <w:rPr>
          <w:lang w:val="fr-FR"/>
        </w:rPr>
        <w:t>des personnes concernées </w:t>
      </w:r>
      <w:r w:rsidR="003C2A67" w:rsidRPr="004618D5">
        <w:rPr>
          <w:lang w:val="fr-FR"/>
        </w:rPr>
        <w:t>;</w:t>
      </w:r>
    </w:p>
    <w:p w:rsidR="009D30A7" w:rsidRPr="004618D5" w:rsidRDefault="007F1B42" w:rsidP="004618D5">
      <w:pPr>
        <w:pStyle w:val="ECHRPara"/>
        <w:rPr>
          <w:lang w:val="fr-FR"/>
        </w:rPr>
      </w:pPr>
      <w:r w:rsidRPr="004618D5">
        <w:rPr>
          <w:lang w:val="fr-FR"/>
        </w:rPr>
        <w:t>–</w:t>
      </w:r>
      <w:r w:rsidR="00750302" w:rsidRPr="004618D5">
        <w:rPr>
          <w:lang w:val="fr-FR"/>
        </w:rPr>
        <w:t>  </w:t>
      </w:r>
      <w:r w:rsidR="00180606" w:rsidRPr="004618D5">
        <w:rPr>
          <w:lang w:val="fr-FR"/>
        </w:rPr>
        <w:t>qu</w:t>
      </w:r>
      <w:r w:rsidR="004618D5" w:rsidRPr="004618D5">
        <w:rPr>
          <w:lang w:val="fr-FR"/>
        </w:rPr>
        <w:t>’</w:t>
      </w:r>
      <w:r w:rsidR="00E2112A" w:rsidRPr="004618D5">
        <w:rPr>
          <w:lang w:val="fr-FR"/>
        </w:rPr>
        <w:t xml:space="preserve">un consensus européen </w:t>
      </w:r>
      <w:r w:rsidR="00180606" w:rsidRPr="004618D5">
        <w:rPr>
          <w:lang w:val="fr-FR"/>
        </w:rPr>
        <w:t>émerge en matière d</w:t>
      </w:r>
      <w:r w:rsidR="004618D5" w:rsidRPr="004618D5">
        <w:rPr>
          <w:lang w:val="fr-FR"/>
        </w:rPr>
        <w:t>’</w:t>
      </w:r>
      <w:r w:rsidR="00180606" w:rsidRPr="004618D5">
        <w:rPr>
          <w:lang w:val="fr-FR"/>
        </w:rPr>
        <w:t>immigration</w:t>
      </w:r>
      <w:r w:rsidR="00153AF1" w:rsidRPr="004618D5">
        <w:rPr>
          <w:lang w:val="fr-FR"/>
        </w:rPr>
        <w:t xml:space="preserve">, qui </w:t>
      </w:r>
      <w:r w:rsidR="001E192E" w:rsidRPr="004618D5">
        <w:rPr>
          <w:lang w:val="fr-FR"/>
        </w:rPr>
        <w:t>veut que l</w:t>
      </w:r>
      <w:r w:rsidR="004618D5" w:rsidRPr="004618D5">
        <w:rPr>
          <w:lang w:val="fr-FR"/>
        </w:rPr>
        <w:t>’</w:t>
      </w:r>
      <w:r w:rsidR="009D30A7" w:rsidRPr="004618D5">
        <w:rPr>
          <w:lang w:val="fr-FR"/>
        </w:rPr>
        <w:t>union entre personnes d</w:t>
      </w:r>
      <w:r w:rsidR="002A0F29" w:rsidRPr="004618D5">
        <w:rPr>
          <w:lang w:val="fr-FR"/>
        </w:rPr>
        <w:t>e</w:t>
      </w:r>
      <w:r w:rsidR="009D30A7" w:rsidRPr="004618D5">
        <w:rPr>
          <w:lang w:val="fr-FR"/>
        </w:rPr>
        <w:t xml:space="preserve"> même sexe </w:t>
      </w:r>
      <w:r w:rsidR="001E192E" w:rsidRPr="004618D5">
        <w:rPr>
          <w:lang w:val="fr-FR"/>
        </w:rPr>
        <w:t xml:space="preserve">soit considérée </w:t>
      </w:r>
      <w:r w:rsidR="009D30A7" w:rsidRPr="004618D5">
        <w:rPr>
          <w:lang w:val="fr-FR"/>
        </w:rPr>
        <w:t>comme une « vie familiale ».</w:t>
      </w:r>
    </w:p>
    <w:p w:rsidR="00E77CB3" w:rsidRPr="004618D5" w:rsidRDefault="009D30A7"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80</w:t>
      </w:r>
      <w:r w:rsidRPr="004618D5">
        <w:rPr>
          <w:lang w:val="fr-FR"/>
        </w:rPr>
        <w:fldChar w:fldCharType="end"/>
      </w:r>
      <w:r w:rsidRPr="004618D5">
        <w:rPr>
          <w:lang w:val="fr-FR"/>
        </w:rPr>
        <w:t>.  De l</w:t>
      </w:r>
      <w:r w:rsidR="004618D5" w:rsidRPr="004618D5">
        <w:rPr>
          <w:lang w:val="fr-FR"/>
        </w:rPr>
        <w:t>’</w:t>
      </w:r>
      <w:r w:rsidRPr="004618D5">
        <w:rPr>
          <w:lang w:val="fr-FR"/>
        </w:rPr>
        <w:t>avis d</w:t>
      </w:r>
      <w:r w:rsidR="00180606" w:rsidRPr="004618D5">
        <w:rPr>
          <w:lang w:val="fr-FR"/>
        </w:rPr>
        <w:t>e l</w:t>
      </w:r>
      <w:r w:rsidR="004618D5" w:rsidRPr="004618D5">
        <w:rPr>
          <w:lang w:val="fr-FR"/>
        </w:rPr>
        <w:t>’</w:t>
      </w:r>
      <w:r w:rsidRPr="004618D5">
        <w:rPr>
          <w:lang w:val="fr-FR"/>
        </w:rPr>
        <w:t>ECSOL, un refus généralisé et aprioriste de reconnaître à un couple</w:t>
      </w:r>
      <w:r w:rsidR="00626A13" w:rsidRPr="004618D5">
        <w:rPr>
          <w:lang w:val="fr-FR"/>
        </w:rPr>
        <w:t xml:space="preserve"> homosexuel</w:t>
      </w:r>
      <w:r w:rsidRPr="004618D5">
        <w:rPr>
          <w:lang w:val="fr-FR"/>
        </w:rPr>
        <w:t xml:space="preserve"> binational le droit de résider dans le pays d</w:t>
      </w:r>
      <w:r w:rsidR="004618D5" w:rsidRPr="004618D5">
        <w:rPr>
          <w:lang w:val="fr-FR"/>
        </w:rPr>
        <w:t>’</w:t>
      </w:r>
      <w:r w:rsidRPr="004618D5">
        <w:rPr>
          <w:lang w:val="fr-FR"/>
        </w:rPr>
        <w:t>accueil viole l</w:t>
      </w:r>
      <w:r w:rsidR="004618D5" w:rsidRPr="004618D5">
        <w:rPr>
          <w:lang w:val="fr-FR"/>
        </w:rPr>
        <w:t>’</w:t>
      </w:r>
      <w:r w:rsidRPr="004618D5">
        <w:rPr>
          <w:lang w:val="fr-FR"/>
        </w:rPr>
        <w:t>article 8 de la Convention pris isolément ou combiné avec l</w:t>
      </w:r>
      <w:r w:rsidR="004618D5" w:rsidRPr="004618D5">
        <w:rPr>
          <w:lang w:val="fr-FR"/>
        </w:rPr>
        <w:t>’</w:t>
      </w:r>
      <w:r w:rsidRPr="004618D5">
        <w:rPr>
          <w:lang w:val="fr-FR"/>
        </w:rPr>
        <w:t>article</w:t>
      </w:r>
      <w:r w:rsidR="006934DE" w:rsidRPr="004618D5">
        <w:rPr>
          <w:lang w:val="fr-FR"/>
        </w:rPr>
        <w:t> </w:t>
      </w:r>
      <w:r w:rsidRPr="004618D5">
        <w:rPr>
          <w:lang w:val="fr-FR"/>
        </w:rPr>
        <w:t>14</w:t>
      </w:r>
      <w:r w:rsidR="006934DE" w:rsidRPr="004618D5">
        <w:rPr>
          <w:lang w:val="fr-FR"/>
        </w:rPr>
        <w:t xml:space="preserve">. </w:t>
      </w:r>
      <w:r w:rsidR="00180606" w:rsidRPr="004618D5">
        <w:rPr>
          <w:lang w:val="fr-FR"/>
        </w:rPr>
        <w:t>E</w:t>
      </w:r>
      <w:r w:rsidR="00153AF1" w:rsidRPr="004618D5">
        <w:rPr>
          <w:lang w:val="fr-FR"/>
        </w:rPr>
        <w:t>n outre, pour l</w:t>
      </w:r>
      <w:r w:rsidR="004618D5" w:rsidRPr="004618D5">
        <w:rPr>
          <w:lang w:val="fr-FR"/>
        </w:rPr>
        <w:t>’</w:t>
      </w:r>
      <w:r w:rsidR="00153AF1" w:rsidRPr="004618D5">
        <w:rPr>
          <w:lang w:val="fr-FR"/>
        </w:rPr>
        <w:t>ESCOL,</w:t>
      </w:r>
      <w:r w:rsidR="00180606" w:rsidRPr="004618D5">
        <w:rPr>
          <w:lang w:val="fr-FR"/>
        </w:rPr>
        <w:t xml:space="preserve"> l</w:t>
      </w:r>
      <w:r w:rsidRPr="004618D5">
        <w:rPr>
          <w:lang w:val="fr-FR"/>
        </w:rPr>
        <w:t>es couples d</w:t>
      </w:r>
      <w:r w:rsidR="002A0F29" w:rsidRPr="004618D5">
        <w:rPr>
          <w:lang w:val="fr-FR"/>
        </w:rPr>
        <w:t>e</w:t>
      </w:r>
      <w:r w:rsidRPr="004618D5">
        <w:rPr>
          <w:lang w:val="fr-FR"/>
        </w:rPr>
        <w:t xml:space="preserve"> même sexe </w:t>
      </w:r>
      <w:r w:rsidR="001E192E" w:rsidRPr="004618D5">
        <w:rPr>
          <w:lang w:val="fr-FR"/>
        </w:rPr>
        <w:t>subissent une discrimination fondée sur</w:t>
      </w:r>
      <w:r w:rsidRPr="004618D5">
        <w:rPr>
          <w:lang w:val="fr-FR"/>
        </w:rPr>
        <w:t xml:space="preserve"> leur orientation sexuelle, </w:t>
      </w:r>
      <w:r w:rsidR="001E192E" w:rsidRPr="004618D5">
        <w:rPr>
          <w:lang w:val="fr-FR"/>
        </w:rPr>
        <w:t xml:space="preserve">au motif que, </w:t>
      </w:r>
      <w:r w:rsidRPr="004618D5">
        <w:rPr>
          <w:lang w:val="fr-FR"/>
        </w:rPr>
        <w:t>dans plusieurs États membres</w:t>
      </w:r>
      <w:r w:rsidR="006934DE" w:rsidRPr="004618D5">
        <w:rPr>
          <w:lang w:val="fr-FR"/>
        </w:rPr>
        <w:t xml:space="preserve"> du Conseil de l</w:t>
      </w:r>
      <w:r w:rsidR="004618D5" w:rsidRPr="004618D5">
        <w:rPr>
          <w:lang w:val="fr-FR"/>
        </w:rPr>
        <w:t>’</w:t>
      </w:r>
      <w:r w:rsidR="006934DE" w:rsidRPr="004618D5">
        <w:rPr>
          <w:lang w:val="fr-FR"/>
        </w:rPr>
        <w:t>Europe</w:t>
      </w:r>
      <w:r w:rsidR="001E192E" w:rsidRPr="004618D5">
        <w:rPr>
          <w:lang w:val="fr-FR"/>
        </w:rPr>
        <w:t>, il leur est interdit de se marier</w:t>
      </w:r>
      <w:r w:rsidRPr="004618D5">
        <w:rPr>
          <w:lang w:val="fr-FR"/>
        </w:rPr>
        <w:t>.</w:t>
      </w:r>
    </w:p>
    <w:p w:rsidR="005D2411" w:rsidRPr="004618D5" w:rsidRDefault="006A7614" w:rsidP="004618D5">
      <w:pPr>
        <w:pStyle w:val="ECHRHeading4"/>
        <w:rPr>
          <w:lang w:val="fr-FR"/>
        </w:rPr>
      </w:pPr>
      <w:r w:rsidRPr="004618D5">
        <w:rPr>
          <w:lang w:val="fr-FR"/>
        </w:rPr>
        <w:t>b)</w:t>
      </w:r>
      <w:r w:rsidR="005D2411" w:rsidRPr="004618D5">
        <w:rPr>
          <w:lang w:val="fr-FR"/>
        </w:rPr>
        <w:t>  Appréciation de la Cour</w:t>
      </w:r>
    </w:p>
    <w:p w:rsidR="006A0012" w:rsidRPr="004618D5" w:rsidRDefault="006A7614" w:rsidP="004618D5">
      <w:pPr>
        <w:pStyle w:val="ECHRHeading5"/>
        <w:rPr>
          <w:lang w:val="fr-FR"/>
        </w:rPr>
      </w:pPr>
      <w:r w:rsidRPr="004618D5">
        <w:rPr>
          <w:lang w:val="fr-FR"/>
        </w:rPr>
        <w:t>i.</w:t>
      </w:r>
      <w:r w:rsidR="006A0012" w:rsidRPr="004618D5">
        <w:rPr>
          <w:lang w:val="fr-FR"/>
        </w:rPr>
        <w:t>  Sur le point de savoir s</w:t>
      </w:r>
      <w:r w:rsidR="004618D5" w:rsidRPr="004618D5">
        <w:rPr>
          <w:lang w:val="fr-FR"/>
        </w:rPr>
        <w:t>’</w:t>
      </w:r>
      <w:r w:rsidR="006A0012" w:rsidRPr="004618D5">
        <w:rPr>
          <w:lang w:val="fr-FR"/>
        </w:rPr>
        <w:t>il y a eu différence de traitement entre des</w:t>
      </w:r>
      <w:r w:rsidR="00945B3E" w:rsidRPr="004618D5">
        <w:rPr>
          <w:lang w:val="fr-FR"/>
        </w:rPr>
        <w:t xml:space="preserve"> </w:t>
      </w:r>
      <w:r w:rsidR="006A0012" w:rsidRPr="004618D5">
        <w:rPr>
          <w:lang w:val="fr-FR"/>
        </w:rPr>
        <w:t>personnes se trouvant dans des situations similaires</w:t>
      </w:r>
      <w:r w:rsidR="006B44F3" w:rsidRPr="004618D5">
        <w:rPr>
          <w:lang w:val="fr-FR"/>
        </w:rPr>
        <w:t xml:space="preserve"> ou traitement </w:t>
      </w:r>
      <w:r w:rsidR="00626A13" w:rsidRPr="004618D5">
        <w:rPr>
          <w:lang w:val="fr-FR"/>
        </w:rPr>
        <w:t>égal</w:t>
      </w:r>
      <w:r w:rsidR="006B44F3" w:rsidRPr="004618D5">
        <w:rPr>
          <w:lang w:val="fr-FR"/>
        </w:rPr>
        <w:t xml:space="preserve"> de personnes se trouvant dans des situations </w:t>
      </w:r>
      <w:r w:rsidR="00626A13" w:rsidRPr="004618D5">
        <w:rPr>
          <w:lang w:val="fr-FR"/>
        </w:rPr>
        <w:t xml:space="preserve">sensiblement </w:t>
      </w:r>
      <w:r w:rsidR="006B44F3" w:rsidRPr="004618D5">
        <w:rPr>
          <w:lang w:val="fr-FR"/>
        </w:rPr>
        <w:t>différentes</w:t>
      </w:r>
    </w:p>
    <w:p w:rsidR="006A0012" w:rsidRPr="004618D5" w:rsidRDefault="006A0012"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81</w:t>
      </w:r>
      <w:r w:rsidRPr="004618D5">
        <w:rPr>
          <w:lang w:val="fr-FR"/>
        </w:rPr>
        <w:fldChar w:fldCharType="end"/>
      </w:r>
      <w:r w:rsidRPr="004618D5">
        <w:rPr>
          <w:lang w:val="fr-FR"/>
        </w:rPr>
        <w:t>.  </w:t>
      </w:r>
      <w:r w:rsidR="003D15F2" w:rsidRPr="004618D5">
        <w:rPr>
          <w:lang w:val="fr-FR"/>
        </w:rPr>
        <w:t>Selon la jurisprudence bien établie de la Cour, une question ne peut se poser au regard de l</w:t>
      </w:r>
      <w:r w:rsidR="004618D5" w:rsidRPr="004618D5">
        <w:rPr>
          <w:lang w:val="fr-FR"/>
        </w:rPr>
        <w:t>’</w:t>
      </w:r>
      <w:r w:rsidR="003D15F2" w:rsidRPr="004618D5">
        <w:rPr>
          <w:lang w:val="fr-FR"/>
        </w:rPr>
        <w:t>article 14 que lorsqu</w:t>
      </w:r>
      <w:r w:rsidR="004618D5" w:rsidRPr="004618D5">
        <w:rPr>
          <w:lang w:val="fr-FR"/>
        </w:rPr>
        <w:t>’</w:t>
      </w:r>
      <w:r w:rsidR="003D15F2" w:rsidRPr="004618D5">
        <w:rPr>
          <w:lang w:val="fr-FR"/>
        </w:rPr>
        <w:t>il existe une différence dans le traitement de personnes placées dans des situations comparables (</w:t>
      </w:r>
      <w:r w:rsidR="003D15F2" w:rsidRPr="004618D5">
        <w:rPr>
          <w:i/>
          <w:lang w:val="fr-FR"/>
        </w:rPr>
        <w:t>Hämäläinen</w:t>
      </w:r>
      <w:r w:rsidR="003D15F2" w:rsidRPr="004618D5">
        <w:rPr>
          <w:lang w:val="fr-FR"/>
        </w:rPr>
        <w:t>, précité, § 108)</w:t>
      </w:r>
      <w:r w:rsidR="00404D4E" w:rsidRPr="004618D5">
        <w:rPr>
          <w:lang w:val="fr-FR"/>
        </w:rPr>
        <w:t>,</w:t>
      </w:r>
      <w:r w:rsidR="006B44F3" w:rsidRPr="004618D5">
        <w:rPr>
          <w:lang w:val="fr-FR"/>
        </w:rPr>
        <w:t xml:space="preserve"> ou lorsque les États n</w:t>
      </w:r>
      <w:r w:rsidR="004618D5" w:rsidRPr="004618D5">
        <w:rPr>
          <w:lang w:val="fr-FR"/>
        </w:rPr>
        <w:t>’</w:t>
      </w:r>
      <w:r w:rsidR="006B44F3" w:rsidRPr="004618D5">
        <w:rPr>
          <w:lang w:val="fr-FR"/>
        </w:rPr>
        <w:t xml:space="preserve">appliquent pas un </w:t>
      </w:r>
      <w:r w:rsidR="006B44F3" w:rsidRPr="004618D5">
        <w:rPr>
          <w:lang w:val="fr-FR"/>
        </w:rPr>
        <w:lastRenderedPageBreak/>
        <w:t>traitement différent à des personnes dont les situations sont sensiblement différentes (</w:t>
      </w:r>
      <w:r w:rsidR="006B44F3" w:rsidRPr="004618D5">
        <w:rPr>
          <w:i/>
          <w:lang w:val="fr-FR"/>
        </w:rPr>
        <w:t>Thlimmenos</w:t>
      </w:r>
      <w:r w:rsidR="006B44F3" w:rsidRPr="004618D5">
        <w:rPr>
          <w:lang w:val="fr-FR"/>
        </w:rPr>
        <w:t>,</w:t>
      </w:r>
      <w:r w:rsidR="00C26F2D" w:rsidRPr="004618D5">
        <w:rPr>
          <w:lang w:val="fr-FR"/>
        </w:rPr>
        <w:t xml:space="preserve"> précité,</w:t>
      </w:r>
      <w:r w:rsidR="006B44F3" w:rsidRPr="004618D5">
        <w:rPr>
          <w:lang w:val="fr-FR"/>
        </w:rPr>
        <w:t xml:space="preserve"> § 44</w:t>
      </w:r>
      <w:r w:rsidR="00561E2C" w:rsidRPr="004618D5">
        <w:rPr>
          <w:lang w:val="fr-FR"/>
        </w:rPr>
        <w:t xml:space="preserve"> </w:t>
      </w:r>
      <w:r w:rsidR="00561E2C" w:rsidRPr="004618D5">
        <w:rPr>
          <w:i/>
          <w:lang w:val="fr-FR"/>
        </w:rPr>
        <w:t>in fine</w:t>
      </w:r>
      <w:r w:rsidR="006B44F3" w:rsidRPr="004618D5">
        <w:rPr>
          <w:lang w:val="fr-FR"/>
        </w:rPr>
        <w:t>)</w:t>
      </w:r>
      <w:r w:rsidR="003D15F2" w:rsidRPr="004618D5">
        <w:rPr>
          <w:lang w:val="fr-FR"/>
        </w:rPr>
        <w:t xml:space="preserve">. </w:t>
      </w:r>
      <w:r w:rsidR="00117E93" w:rsidRPr="004618D5">
        <w:rPr>
          <w:rFonts w:cstheme="minorHAnsi"/>
          <w:lang w:val="fr-FR"/>
        </w:rPr>
        <w:t>À</w:t>
      </w:r>
      <w:r w:rsidR="00117E93" w:rsidRPr="004618D5">
        <w:rPr>
          <w:lang w:val="fr-FR"/>
        </w:rPr>
        <w:t xml:space="preserve"> ce dernier égard, la Cour rappelle que l</w:t>
      </w:r>
      <w:r w:rsidR="004618D5" w:rsidRPr="004618D5">
        <w:rPr>
          <w:lang w:val="fr-FR"/>
        </w:rPr>
        <w:t>’</w:t>
      </w:r>
      <w:r w:rsidR="00117E93" w:rsidRPr="004618D5">
        <w:rPr>
          <w:lang w:val="fr-FR"/>
        </w:rPr>
        <w:t>article 14 n</w:t>
      </w:r>
      <w:r w:rsidR="004618D5" w:rsidRPr="004618D5">
        <w:rPr>
          <w:lang w:val="fr-FR"/>
        </w:rPr>
        <w:t>’</w:t>
      </w:r>
      <w:r w:rsidR="00117E93" w:rsidRPr="004618D5">
        <w:rPr>
          <w:lang w:val="fr-FR"/>
        </w:rPr>
        <w:t>interdit pas à un État membre de traiter des groupes de manière différenciée pour corriger des « inégalités factuelles » entre eux</w:t>
      </w:r>
      <w:r w:rsidR="00966459" w:rsidRPr="004618D5">
        <w:rPr>
          <w:lang w:val="fr-FR"/>
        </w:rPr>
        <w:t> ;</w:t>
      </w:r>
      <w:r w:rsidR="00117E93" w:rsidRPr="004618D5">
        <w:rPr>
          <w:lang w:val="fr-FR"/>
        </w:rPr>
        <w:t xml:space="preserve"> de fait, dans certaines circonstances, l</w:t>
      </w:r>
      <w:r w:rsidR="004618D5" w:rsidRPr="004618D5">
        <w:rPr>
          <w:lang w:val="fr-FR"/>
        </w:rPr>
        <w:t>’</w:t>
      </w:r>
      <w:r w:rsidR="00117E93" w:rsidRPr="004618D5">
        <w:rPr>
          <w:lang w:val="fr-FR"/>
        </w:rPr>
        <w:t>absence d</w:t>
      </w:r>
      <w:r w:rsidR="004618D5" w:rsidRPr="004618D5">
        <w:rPr>
          <w:lang w:val="fr-FR"/>
        </w:rPr>
        <w:t>’</w:t>
      </w:r>
      <w:r w:rsidR="00117E93" w:rsidRPr="004618D5">
        <w:rPr>
          <w:lang w:val="fr-FR"/>
        </w:rPr>
        <w:t>un traitement différencié pour corriger une inégalité peut en soi emporter violation de la disposition en cause (</w:t>
      </w:r>
      <w:r w:rsidR="00117E93" w:rsidRPr="004618D5">
        <w:rPr>
          <w:i/>
          <w:lang w:val="fr-FR"/>
        </w:rPr>
        <w:t>Affaire « relative à certains aspects du régime linguistique de l</w:t>
      </w:r>
      <w:r w:rsidR="004618D5" w:rsidRPr="004618D5">
        <w:rPr>
          <w:i/>
          <w:lang w:val="fr-FR"/>
        </w:rPr>
        <w:t>’</w:t>
      </w:r>
      <w:r w:rsidR="00117E93" w:rsidRPr="004618D5">
        <w:rPr>
          <w:i/>
          <w:lang w:val="fr-FR"/>
        </w:rPr>
        <w:t>enseignement en Belgique » c. Belgique</w:t>
      </w:r>
      <w:r w:rsidR="00117E93" w:rsidRPr="004618D5">
        <w:rPr>
          <w:lang w:val="fr-FR"/>
        </w:rPr>
        <w:t xml:space="preserve"> (fond), 23</w:t>
      </w:r>
      <w:r w:rsidR="00591130" w:rsidRPr="004618D5">
        <w:rPr>
          <w:lang w:val="fr-FR"/>
        </w:rPr>
        <w:t> </w:t>
      </w:r>
      <w:r w:rsidR="00117E93" w:rsidRPr="004618D5">
        <w:rPr>
          <w:lang w:val="fr-FR"/>
        </w:rPr>
        <w:t>juillet 1968, § 10, série</w:t>
      </w:r>
      <w:r w:rsidR="004934E4" w:rsidRPr="004618D5">
        <w:rPr>
          <w:lang w:val="fr-FR"/>
        </w:rPr>
        <w:t> </w:t>
      </w:r>
      <w:r w:rsidR="00117E93" w:rsidRPr="004618D5">
        <w:rPr>
          <w:lang w:val="fr-FR"/>
        </w:rPr>
        <w:t>A n</w:t>
      </w:r>
      <w:r w:rsidR="00B55B33" w:rsidRPr="004618D5">
        <w:rPr>
          <w:vertAlign w:val="superscript"/>
          <w:lang w:val="fr-FR"/>
        </w:rPr>
        <w:t>o</w:t>
      </w:r>
      <w:r w:rsidR="00117E93" w:rsidRPr="004618D5">
        <w:rPr>
          <w:lang w:val="fr-FR"/>
        </w:rPr>
        <w:t xml:space="preserve"> 6</w:t>
      </w:r>
      <w:r w:rsidR="00180606" w:rsidRPr="004618D5">
        <w:rPr>
          <w:lang w:val="fr-FR"/>
        </w:rPr>
        <w:t>,</w:t>
      </w:r>
      <w:r w:rsidR="00EF691E" w:rsidRPr="004618D5">
        <w:rPr>
          <w:lang w:val="fr-FR"/>
        </w:rPr>
        <w:t xml:space="preserve"> </w:t>
      </w:r>
      <w:r w:rsidR="00EF691E" w:rsidRPr="004618D5">
        <w:rPr>
          <w:i/>
          <w:lang w:val="fr-FR"/>
        </w:rPr>
        <w:t>Stec et autres c. Royaume-Uni</w:t>
      </w:r>
      <w:r w:rsidR="00EF691E" w:rsidRPr="004618D5">
        <w:rPr>
          <w:lang w:val="fr-FR"/>
        </w:rPr>
        <w:t xml:space="preserve"> [GC], n</w:t>
      </w:r>
      <w:r w:rsidR="00EF691E" w:rsidRPr="004618D5">
        <w:rPr>
          <w:vertAlign w:val="superscript"/>
          <w:lang w:val="fr-FR"/>
        </w:rPr>
        <w:t>os</w:t>
      </w:r>
      <w:r w:rsidR="00EF691E" w:rsidRPr="004618D5">
        <w:rPr>
          <w:lang w:val="fr-FR"/>
        </w:rPr>
        <w:t xml:space="preserve"> 65731/01 et 65900/01, §</w:t>
      </w:r>
      <w:r w:rsidR="00C26F2D" w:rsidRPr="004618D5">
        <w:rPr>
          <w:lang w:val="fr-FR"/>
        </w:rPr>
        <w:t> </w:t>
      </w:r>
      <w:r w:rsidR="00EF691E" w:rsidRPr="004618D5">
        <w:rPr>
          <w:lang w:val="fr-FR"/>
        </w:rPr>
        <w:t>51, CEDH 2006</w:t>
      </w:r>
      <w:r w:rsidR="00EF691E" w:rsidRPr="004618D5">
        <w:rPr>
          <w:lang w:val="fr-FR"/>
        </w:rPr>
        <w:noBreakHyphen/>
        <w:t>VI</w:t>
      </w:r>
      <w:r w:rsidR="00180606" w:rsidRPr="004618D5">
        <w:rPr>
          <w:lang w:val="fr-FR"/>
        </w:rPr>
        <w:t>,</w:t>
      </w:r>
      <w:r w:rsidR="00586971" w:rsidRPr="004618D5">
        <w:rPr>
          <w:lang w:val="fr-FR"/>
        </w:rPr>
        <w:t xml:space="preserve"> et </w:t>
      </w:r>
      <w:r w:rsidR="00586971" w:rsidRPr="004618D5">
        <w:rPr>
          <w:i/>
          <w:color w:val="000000"/>
          <w:lang w:val="fr-FR"/>
        </w:rPr>
        <w:t>Muňoz Diaz c. Espagne</w:t>
      </w:r>
      <w:r w:rsidR="00586971" w:rsidRPr="004618D5">
        <w:rPr>
          <w:color w:val="000000"/>
          <w:lang w:val="fr-FR"/>
        </w:rPr>
        <w:t>, n</w:t>
      </w:r>
      <w:r w:rsidR="00B55B33" w:rsidRPr="004618D5">
        <w:rPr>
          <w:color w:val="000000"/>
          <w:vertAlign w:val="superscript"/>
          <w:lang w:val="fr-FR"/>
        </w:rPr>
        <w:t>o</w:t>
      </w:r>
      <w:r w:rsidR="00586971" w:rsidRPr="004618D5">
        <w:rPr>
          <w:color w:val="000000"/>
          <w:lang w:val="fr-FR"/>
        </w:rPr>
        <w:t> 49151/07, §</w:t>
      </w:r>
      <w:r w:rsidR="004934E4" w:rsidRPr="004618D5">
        <w:rPr>
          <w:color w:val="000000"/>
          <w:lang w:val="fr-FR"/>
        </w:rPr>
        <w:t> </w:t>
      </w:r>
      <w:r w:rsidR="00586971" w:rsidRPr="004618D5">
        <w:rPr>
          <w:color w:val="000000"/>
          <w:lang w:val="fr-FR"/>
        </w:rPr>
        <w:t>48, CEDH 2009</w:t>
      </w:r>
      <w:r w:rsidR="00117E93" w:rsidRPr="004618D5">
        <w:rPr>
          <w:lang w:val="fr-FR"/>
        </w:rPr>
        <w:t>)</w:t>
      </w:r>
      <w:r w:rsidR="00EF691E" w:rsidRPr="004618D5">
        <w:rPr>
          <w:lang w:val="fr-FR"/>
        </w:rPr>
        <w:t xml:space="preserve">. </w:t>
      </w:r>
      <w:r w:rsidR="00E43F03" w:rsidRPr="004618D5">
        <w:rPr>
          <w:lang w:val="fr-FR"/>
        </w:rPr>
        <w:t>De plus, la Cour a déjà admis qu</w:t>
      </w:r>
      <w:r w:rsidR="004618D5" w:rsidRPr="004618D5">
        <w:rPr>
          <w:lang w:val="fr-FR"/>
        </w:rPr>
        <w:t>’</w:t>
      </w:r>
      <w:r w:rsidR="00561E2C" w:rsidRPr="004618D5">
        <w:rPr>
          <w:lang w:val="fr-FR"/>
        </w:rPr>
        <w:t>une politique ou une mesure générale qui ont des effets préjudiciables disproportionnés sur un groupe de personnes peuvent être considérées comme discriminatoires même si elles ne visent pas spécifiquement ce groupe et s</w:t>
      </w:r>
      <w:r w:rsidR="004618D5" w:rsidRPr="004618D5">
        <w:rPr>
          <w:lang w:val="fr-FR"/>
        </w:rPr>
        <w:t>’</w:t>
      </w:r>
      <w:r w:rsidR="00561E2C" w:rsidRPr="004618D5">
        <w:rPr>
          <w:lang w:val="fr-FR"/>
        </w:rPr>
        <w:t>il n</w:t>
      </w:r>
      <w:r w:rsidR="004618D5" w:rsidRPr="004618D5">
        <w:rPr>
          <w:lang w:val="fr-FR"/>
        </w:rPr>
        <w:t>’</w:t>
      </w:r>
      <w:r w:rsidR="00561E2C" w:rsidRPr="004618D5">
        <w:rPr>
          <w:lang w:val="fr-FR"/>
        </w:rPr>
        <w:t>y a pas d</w:t>
      </w:r>
      <w:r w:rsidR="004618D5" w:rsidRPr="004618D5">
        <w:rPr>
          <w:lang w:val="fr-FR"/>
        </w:rPr>
        <w:t>’</w:t>
      </w:r>
      <w:r w:rsidR="00561E2C" w:rsidRPr="004618D5">
        <w:rPr>
          <w:lang w:val="fr-FR"/>
        </w:rPr>
        <w:t>intention discriminatoire. Une telle situation s</w:t>
      </w:r>
      <w:r w:rsidR="004618D5" w:rsidRPr="004618D5">
        <w:rPr>
          <w:lang w:val="fr-FR"/>
        </w:rPr>
        <w:t>’</w:t>
      </w:r>
      <w:r w:rsidR="00561E2C" w:rsidRPr="004618D5">
        <w:rPr>
          <w:lang w:val="fr-FR"/>
        </w:rPr>
        <w:t>analyse en une « discrimination indirecte ». Il n</w:t>
      </w:r>
      <w:r w:rsidR="004618D5" w:rsidRPr="004618D5">
        <w:rPr>
          <w:lang w:val="fr-FR"/>
        </w:rPr>
        <w:t>’</w:t>
      </w:r>
      <w:r w:rsidR="00561E2C" w:rsidRPr="004618D5">
        <w:rPr>
          <w:lang w:val="fr-FR"/>
        </w:rPr>
        <w:t xml:space="preserve">en va toutefois ainsi que si cette politique ou cette mesure manquent de justification « objective et raisonnable » (voir, entre autres, </w:t>
      </w:r>
      <w:r w:rsidR="00561E2C" w:rsidRPr="004618D5">
        <w:rPr>
          <w:i/>
          <w:lang w:val="fr-FR"/>
        </w:rPr>
        <w:t xml:space="preserve">Baio c. Danemark </w:t>
      </w:r>
      <w:r w:rsidR="00561E2C" w:rsidRPr="004618D5">
        <w:rPr>
          <w:lang w:val="fr-FR"/>
        </w:rPr>
        <w:t>[GC], n</w:t>
      </w:r>
      <w:r w:rsidR="00B55B33" w:rsidRPr="004618D5">
        <w:rPr>
          <w:vertAlign w:val="superscript"/>
          <w:lang w:val="fr-FR"/>
        </w:rPr>
        <w:t>o</w:t>
      </w:r>
      <w:r w:rsidR="00561E2C" w:rsidRPr="004618D5">
        <w:rPr>
          <w:lang w:val="fr-FR"/>
        </w:rPr>
        <w:t xml:space="preserve"> 38590/10, § 91</w:t>
      </w:r>
      <w:r w:rsidR="00561E2C" w:rsidRPr="004618D5">
        <w:rPr>
          <w:i/>
          <w:lang w:val="fr-FR"/>
        </w:rPr>
        <w:t>,</w:t>
      </w:r>
      <w:r w:rsidR="00561E2C" w:rsidRPr="004618D5">
        <w:rPr>
          <w:lang w:val="fr-FR"/>
        </w:rPr>
        <w:t xml:space="preserve"> 26 mai 2016 ; </w:t>
      </w:r>
      <w:r w:rsidR="00561E2C" w:rsidRPr="004618D5">
        <w:rPr>
          <w:i/>
          <w:lang w:val="fr-FR"/>
        </w:rPr>
        <w:t>S.A.S. c.</w:t>
      </w:r>
      <w:r w:rsidR="008921F6" w:rsidRPr="004618D5">
        <w:rPr>
          <w:i/>
          <w:lang w:val="fr-FR"/>
        </w:rPr>
        <w:t> </w:t>
      </w:r>
      <w:r w:rsidR="00561E2C" w:rsidRPr="004618D5">
        <w:rPr>
          <w:i/>
          <w:lang w:val="fr-FR"/>
        </w:rPr>
        <w:t>France</w:t>
      </w:r>
      <w:r w:rsidR="00561E2C" w:rsidRPr="004618D5">
        <w:rPr>
          <w:lang w:val="fr-FR"/>
        </w:rPr>
        <w:t xml:space="preserve"> [GC], n</w:t>
      </w:r>
      <w:r w:rsidR="00B55B33" w:rsidRPr="004618D5">
        <w:rPr>
          <w:vertAlign w:val="superscript"/>
          <w:lang w:val="fr-FR"/>
        </w:rPr>
        <w:t>o</w:t>
      </w:r>
      <w:r w:rsidR="00561E2C" w:rsidRPr="004618D5">
        <w:rPr>
          <w:lang w:val="fr-FR"/>
        </w:rPr>
        <w:t xml:space="preserve"> 43835/11, § 161, CEDH 2014 (extraits) ; </w:t>
      </w:r>
      <w:r w:rsidR="004618D5" w:rsidRPr="004618D5">
        <w:rPr>
          <w:i/>
          <w:lang w:val="fr-FR"/>
        </w:rPr>
        <w:t>D.H. et autres c. </w:t>
      </w:r>
      <w:r w:rsidR="00561E2C" w:rsidRPr="004618D5">
        <w:rPr>
          <w:i/>
          <w:lang w:val="fr-FR"/>
        </w:rPr>
        <w:t xml:space="preserve">République tchèque </w:t>
      </w:r>
      <w:r w:rsidR="00561E2C" w:rsidRPr="004618D5">
        <w:rPr>
          <w:lang w:val="fr-FR"/>
        </w:rPr>
        <w:t>[GC], n</w:t>
      </w:r>
      <w:r w:rsidR="00B55B33" w:rsidRPr="004618D5">
        <w:rPr>
          <w:vertAlign w:val="superscript"/>
          <w:lang w:val="fr-FR"/>
        </w:rPr>
        <w:t>o</w:t>
      </w:r>
      <w:r w:rsidR="00561E2C" w:rsidRPr="004618D5">
        <w:rPr>
          <w:lang w:val="fr-FR"/>
        </w:rPr>
        <w:t> 57325/00, § 184, CEDH 2007-IV ; et</w:t>
      </w:r>
      <w:r w:rsidR="004618D5" w:rsidRPr="004618D5">
        <w:rPr>
          <w:i/>
          <w:lang w:val="fr-FR"/>
        </w:rPr>
        <w:t xml:space="preserve"> Hugh </w:t>
      </w:r>
      <w:r w:rsidR="00561E2C" w:rsidRPr="004618D5">
        <w:rPr>
          <w:i/>
          <w:lang w:val="fr-FR"/>
        </w:rPr>
        <w:t>Jordan c. Royaume-Uni</w:t>
      </w:r>
      <w:r w:rsidR="00561E2C" w:rsidRPr="004618D5">
        <w:rPr>
          <w:lang w:val="fr-FR"/>
        </w:rPr>
        <w:t>,</w:t>
      </w:r>
      <w:r w:rsidR="00561E2C" w:rsidRPr="004618D5">
        <w:rPr>
          <w:i/>
          <w:lang w:val="fr-FR"/>
        </w:rPr>
        <w:t xml:space="preserve"> </w:t>
      </w:r>
      <w:r w:rsidR="00561E2C" w:rsidRPr="004618D5">
        <w:rPr>
          <w:lang w:val="fr-FR"/>
        </w:rPr>
        <w:t>n</w:t>
      </w:r>
      <w:r w:rsidR="00561E2C" w:rsidRPr="004618D5">
        <w:rPr>
          <w:vertAlign w:val="superscript"/>
          <w:lang w:val="fr-FR"/>
        </w:rPr>
        <w:t>o </w:t>
      </w:r>
      <w:r w:rsidR="00561E2C" w:rsidRPr="004618D5">
        <w:rPr>
          <w:lang w:val="fr-FR"/>
        </w:rPr>
        <w:t>24746/94, § 154, 4 mai 2001</w:t>
      </w:r>
      <w:r w:rsidR="00E43F03" w:rsidRPr="004618D5">
        <w:rPr>
          <w:lang w:val="fr-FR"/>
        </w:rPr>
        <w:t>).</w:t>
      </w:r>
    </w:p>
    <w:p w:rsidR="0065487A" w:rsidRPr="004618D5" w:rsidRDefault="00C14DEC"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82</w:t>
      </w:r>
      <w:r w:rsidRPr="004618D5">
        <w:rPr>
          <w:lang w:val="fr-FR"/>
        </w:rPr>
        <w:fldChar w:fldCharType="end"/>
      </w:r>
      <w:r w:rsidRPr="004618D5">
        <w:rPr>
          <w:lang w:val="fr-FR"/>
        </w:rPr>
        <w:t>.  </w:t>
      </w:r>
      <w:r w:rsidR="00612869" w:rsidRPr="004618D5">
        <w:rPr>
          <w:lang w:val="fr-FR"/>
        </w:rPr>
        <w:t>En l</w:t>
      </w:r>
      <w:r w:rsidR="004618D5" w:rsidRPr="004618D5">
        <w:rPr>
          <w:lang w:val="fr-FR"/>
        </w:rPr>
        <w:t>’</w:t>
      </w:r>
      <w:r w:rsidR="00612869" w:rsidRPr="004618D5">
        <w:rPr>
          <w:lang w:val="fr-FR"/>
        </w:rPr>
        <w:t>espèce, a</w:t>
      </w:r>
      <w:r w:rsidR="0034204B" w:rsidRPr="004618D5">
        <w:rPr>
          <w:lang w:val="fr-FR"/>
        </w:rPr>
        <w:t>ux yeux de la Cour, il n</w:t>
      </w:r>
      <w:r w:rsidR="004618D5" w:rsidRPr="004618D5">
        <w:rPr>
          <w:lang w:val="fr-FR"/>
        </w:rPr>
        <w:t>’</w:t>
      </w:r>
      <w:r w:rsidR="0034204B" w:rsidRPr="004618D5">
        <w:rPr>
          <w:lang w:val="fr-FR"/>
        </w:rPr>
        <w:t>appara</w:t>
      </w:r>
      <w:r w:rsidR="00180606" w:rsidRPr="004618D5">
        <w:rPr>
          <w:lang w:val="fr-FR"/>
        </w:rPr>
        <w:t>î</w:t>
      </w:r>
      <w:r w:rsidR="0034204B" w:rsidRPr="004618D5">
        <w:rPr>
          <w:lang w:val="fr-FR"/>
        </w:rPr>
        <w:t>t pas qu</w:t>
      </w:r>
      <w:r w:rsidR="00180606" w:rsidRPr="004618D5">
        <w:rPr>
          <w:lang w:val="fr-FR"/>
        </w:rPr>
        <w:t>e</w:t>
      </w:r>
      <w:r w:rsidR="00612869" w:rsidRPr="004618D5">
        <w:rPr>
          <w:lang w:val="fr-FR"/>
        </w:rPr>
        <w:t xml:space="preserve"> </w:t>
      </w:r>
      <w:r w:rsidR="0034204B" w:rsidRPr="004618D5">
        <w:rPr>
          <w:lang w:val="fr-FR"/>
        </w:rPr>
        <w:t xml:space="preserve">les requérants, un couple homosexuel non marié, aient été traités différemment </w:t>
      </w:r>
      <w:r w:rsidR="00180606" w:rsidRPr="004618D5">
        <w:rPr>
          <w:lang w:val="fr-FR"/>
        </w:rPr>
        <w:t>d</w:t>
      </w:r>
      <w:r w:rsidR="004618D5" w:rsidRPr="004618D5">
        <w:rPr>
          <w:lang w:val="fr-FR"/>
        </w:rPr>
        <w:t>’</w:t>
      </w:r>
      <w:r w:rsidR="0034204B" w:rsidRPr="004618D5">
        <w:rPr>
          <w:lang w:val="fr-FR"/>
        </w:rPr>
        <w:t>un couple hétérosexuel non marié</w:t>
      </w:r>
      <w:r w:rsidR="00EC5E75" w:rsidRPr="004618D5">
        <w:rPr>
          <w:lang w:val="fr-FR"/>
        </w:rPr>
        <w:t>.</w:t>
      </w:r>
      <w:r w:rsidR="0034204B" w:rsidRPr="004618D5">
        <w:rPr>
          <w:lang w:val="fr-FR"/>
        </w:rPr>
        <w:t xml:space="preserve"> </w:t>
      </w:r>
      <w:r w:rsidR="00EC5E75" w:rsidRPr="004618D5">
        <w:rPr>
          <w:lang w:val="fr-FR"/>
        </w:rPr>
        <w:t>L</w:t>
      </w:r>
      <w:r w:rsidR="0034204B" w:rsidRPr="004618D5">
        <w:rPr>
          <w:lang w:val="fr-FR"/>
        </w:rPr>
        <w:t>a qualité de « membre de la famille » étant reconnue par le droit interne seulement à l</w:t>
      </w:r>
      <w:r w:rsidR="004618D5" w:rsidRPr="004618D5">
        <w:rPr>
          <w:lang w:val="fr-FR"/>
        </w:rPr>
        <w:t>’</w:t>
      </w:r>
      <w:r w:rsidR="0034204B" w:rsidRPr="004618D5">
        <w:rPr>
          <w:lang w:val="fr-FR"/>
        </w:rPr>
        <w:t>« époux », et non au concubin</w:t>
      </w:r>
      <w:r w:rsidR="00404D4E" w:rsidRPr="004618D5">
        <w:rPr>
          <w:lang w:val="fr-FR"/>
        </w:rPr>
        <w:t xml:space="preserve"> (paragraphes </w:t>
      </w:r>
      <w:r w:rsidR="003C71B5" w:rsidRPr="004618D5">
        <w:rPr>
          <w:lang w:val="fr-FR"/>
        </w:rPr>
        <w:t>27</w:t>
      </w:r>
      <w:r w:rsidR="00103E8E" w:rsidRPr="004618D5">
        <w:rPr>
          <w:lang w:val="fr-FR"/>
        </w:rPr>
        <w:t>-</w:t>
      </w:r>
      <w:r w:rsidR="003C71B5" w:rsidRPr="004618D5">
        <w:rPr>
          <w:lang w:val="fr-FR"/>
        </w:rPr>
        <w:t>28</w:t>
      </w:r>
      <w:r w:rsidR="00404D4E" w:rsidRPr="004618D5">
        <w:rPr>
          <w:lang w:val="fr-FR"/>
        </w:rPr>
        <w:t xml:space="preserve"> ci-dessus)</w:t>
      </w:r>
      <w:r w:rsidR="0034204B" w:rsidRPr="004618D5">
        <w:rPr>
          <w:lang w:val="fr-FR"/>
        </w:rPr>
        <w:t>, il est raisonnable de penser que, à l</w:t>
      </w:r>
      <w:r w:rsidR="004618D5" w:rsidRPr="004618D5">
        <w:rPr>
          <w:lang w:val="fr-FR"/>
        </w:rPr>
        <w:t>’</w:t>
      </w:r>
      <w:r w:rsidR="0034204B" w:rsidRPr="004618D5">
        <w:rPr>
          <w:lang w:val="fr-FR"/>
        </w:rPr>
        <w:t>instar du deuxième requérant, un partenaire</w:t>
      </w:r>
      <w:r w:rsidR="00404D4E" w:rsidRPr="004618D5">
        <w:rPr>
          <w:lang w:val="fr-FR"/>
        </w:rPr>
        <w:t xml:space="preserve"> hétérosexuel non ressortissant de l</w:t>
      </w:r>
      <w:r w:rsidR="004618D5" w:rsidRPr="004618D5">
        <w:rPr>
          <w:lang w:val="fr-FR"/>
        </w:rPr>
        <w:t>’</w:t>
      </w:r>
      <w:r w:rsidR="00404D4E" w:rsidRPr="004618D5">
        <w:rPr>
          <w:lang w:val="fr-FR"/>
        </w:rPr>
        <w:t>U</w:t>
      </w:r>
      <w:r w:rsidR="00EC5E75" w:rsidRPr="004618D5">
        <w:rPr>
          <w:lang w:val="fr-FR"/>
        </w:rPr>
        <w:t>E</w:t>
      </w:r>
      <w:r w:rsidR="00404D4E" w:rsidRPr="004618D5">
        <w:rPr>
          <w:lang w:val="fr-FR"/>
        </w:rPr>
        <w:t xml:space="preserve"> </w:t>
      </w:r>
      <w:r w:rsidR="00EC5E75" w:rsidRPr="004618D5">
        <w:rPr>
          <w:lang w:val="fr-FR"/>
        </w:rPr>
        <w:t>aurait</w:t>
      </w:r>
      <w:r w:rsidR="0034204B" w:rsidRPr="004618D5">
        <w:rPr>
          <w:lang w:val="fr-FR"/>
        </w:rPr>
        <w:t xml:space="preserve"> </w:t>
      </w:r>
      <w:r w:rsidR="00EC5E75" w:rsidRPr="004618D5">
        <w:rPr>
          <w:lang w:val="fr-FR"/>
        </w:rPr>
        <w:t xml:space="preserve">pu </w:t>
      </w:r>
      <w:r w:rsidR="0034204B" w:rsidRPr="004618D5">
        <w:rPr>
          <w:lang w:val="fr-FR"/>
        </w:rPr>
        <w:t>lui aussi</w:t>
      </w:r>
      <w:r w:rsidR="00EC5E75" w:rsidRPr="004618D5">
        <w:rPr>
          <w:lang w:val="fr-FR"/>
        </w:rPr>
        <w:t xml:space="preserve"> se voir</w:t>
      </w:r>
      <w:r w:rsidR="00404D4E" w:rsidRPr="004618D5">
        <w:rPr>
          <w:lang w:val="fr-FR"/>
        </w:rPr>
        <w:t xml:space="preserve"> </w:t>
      </w:r>
      <w:r w:rsidR="0034204B" w:rsidRPr="004618D5">
        <w:rPr>
          <w:lang w:val="fr-FR"/>
        </w:rPr>
        <w:t xml:space="preserve">refuser un permis de séjour </w:t>
      </w:r>
      <w:r w:rsidR="00B10024" w:rsidRPr="004618D5">
        <w:rPr>
          <w:lang w:val="fr-FR"/>
        </w:rPr>
        <w:t>pour raison familiale</w:t>
      </w:r>
      <w:r w:rsidR="00EC5E75" w:rsidRPr="004618D5">
        <w:rPr>
          <w:lang w:val="fr-FR"/>
        </w:rPr>
        <w:t xml:space="preserve"> en Italie</w:t>
      </w:r>
      <w:r w:rsidR="0034204B" w:rsidRPr="004618D5">
        <w:rPr>
          <w:lang w:val="fr-FR"/>
        </w:rPr>
        <w:t>. En effet,</w:t>
      </w:r>
      <w:r w:rsidRPr="004618D5">
        <w:rPr>
          <w:lang w:val="fr-FR"/>
        </w:rPr>
        <w:t xml:space="preserve"> </w:t>
      </w:r>
      <w:r w:rsidR="0034204B" w:rsidRPr="004618D5">
        <w:rPr>
          <w:lang w:val="fr-FR"/>
        </w:rPr>
        <w:t>comme la Cour</w:t>
      </w:r>
      <w:r w:rsidR="00404D4E" w:rsidRPr="004618D5">
        <w:rPr>
          <w:lang w:val="fr-FR"/>
        </w:rPr>
        <w:t xml:space="preserve"> de cassation l</w:t>
      </w:r>
      <w:r w:rsidR="004618D5" w:rsidRPr="004618D5">
        <w:rPr>
          <w:lang w:val="fr-FR"/>
        </w:rPr>
        <w:t>’</w:t>
      </w:r>
      <w:r w:rsidR="00404D4E" w:rsidRPr="004618D5">
        <w:rPr>
          <w:lang w:val="fr-FR"/>
        </w:rPr>
        <w:t xml:space="preserve">a </w:t>
      </w:r>
      <w:r w:rsidR="0034204B" w:rsidRPr="004618D5">
        <w:rPr>
          <w:lang w:val="fr-FR"/>
        </w:rPr>
        <w:t>souligné (paragraphe</w:t>
      </w:r>
      <w:r w:rsidR="006F3229" w:rsidRPr="004618D5">
        <w:rPr>
          <w:lang w:val="fr-FR"/>
        </w:rPr>
        <w:t> </w:t>
      </w:r>
      <w:r w:rsidR="003C71B5" w:rsidRPr="004618D5">
        <w:rPr>
          <w:lang w:val="fr-FR"/>
        </w:rPr>
        <w:t>22</w:t>
      </w:r>
      <w:r w:rsidR="004618D5" w:rsidRPr="004618D5">
        <w:rPr>
          <w:lang w:val="fr-FR"/>
        </w:rPr>
        <w:t xml:space="preserve"> ci</w:t>
      </w:r>
      <w:r w:rsidR="004618D5" w:rsidRPr="004618D5">
        <w:rPr>
          <w:lang w:val="fr-FR"/>
        </w:rPr>
        <w:noBreakHyphen/>
      </w:r>
      <w:r w:rsidR="0034204B" w:rsidRPr="004618D5">
        <w:rPr>
          <w:lang w:val="fr-FR"/>
        </w:rPr>
        <w:t xml:space="preserve">dessus), </w:t>
      </w:r>
      <w:r w:rsidRPr="004618D5">
        <w:rPr>
          <w:lang w:val="fr-FR"/>
        </w:rPr>
        <w:t>l</w:t>
      </w:r>
      <w:r w:rsidR="004618D5" w:rsidRPr="004618D5">
        <w:rPr>
          <w:lang w:val="fr-FR"/>
        </w:rPr>
        <w:t>’</w:t>
      </w:r>
      <w:r w:rsidRPr="004618D5">
        <w:rPr>
          <w:lang w:val="fr-FR"/>
        </w:rPr>
        <w:t>exclusion des partenaires non</w:t>
      </w:r>
      <w:r w:rsidR="00153AF1" w:rsidRPr="004618D5">
        <w:rPr>
          <w:lang w:val="fr-FR"/>
        </w:rPr>
        <w:t xml:space="preserve"> </w:t>
      </w:r>
      <w:r w:rsidRPr="004618D5">
        <w:rPr>
          <w:lang w:val="fr-FR"/>
        </w:rPr>
        <w:t>mariés du droit à obtenir le permis</w:t>
      </w:r>
      <w:r w:rsidR="00EC5E75" w:rsidRPr="004618D5">
        <w:rPr>
          <w:lang w:val="fr-FR"/>
        </w:rPr>
        <w:t xml:space="preserve"> en question</w:t>
      </w:r>
      <w:r w:rsidRPr="004618D5">
        <w:rPr>
          <w:lang w:val="fr-FR"/>
        </w:rPr>
        <w:t xml:space="preserve"> concernait tant les </w:t>
      </w:r>
      <w:r w:rsidR="00EC5E75" w:rsidRPr="004618D5">
        <w:rPr>
          <w:lang w:val="fr-FR"/>
        </w:rPr>
        <w:t>couples</w:t>
      </w:r>
      <w:r w:rsidRPr="004618D5">
        <w:rPr>
          <w:lang w:val="fr-FR"/>
        </w:rPr>
        <w:t xml:space="preserve"> d</w:t>
      </w:r>
      <w:r w:rsidR="002A0F29" w:rsidRPr="004618D5">
        <w:rPr>
          <w:lang w:val="fr-FR"/>
        </w:rPr>
        <w:t>e</w:t>
      </w:r>
      <w:r w:rsidRPr="004618D5">
        <w:rPr>
          <w:lang w:val="fr-FR"/>
        </w:rPr>
        <w:t xml:space="preserve"> même sexe que </w:t>
      </w:r>
      <w:r w:rsidR="00EC5E75" w:rsidRPr="004618D5">
        <w:rPr>
          <w:lang w:val="fr-FR"/>
        </w:rPr>
        <w:t>ceux</w:t>
      </w:r>
      <w:r w:rsidRPr="004618D5">
        <w:rPr>
          <w:lang w:val="fr-FR"/>
        </w:rPr>
        <w:t xml:space="preserve"> de sexe opposé.</w:t>
      </w:r>
      <w:r w:rsidR="0034204B" w:rsidRPr="004618D5">
        <w:rPr>
          <w:lang w:val="fr-FR"/>
        </w:rPr>
        <w:t xml:space="preserve"> L</w:t>
      </w:r>
      <w:r w:rsidRPr="004618D5">
        <w:rPr>
          <w:lang w:val="fr-FR"/>
        </w:rPr>
        <w:t>es requérants ne le contestent d</w:t>
      </w:r>
      <w:r w:rsidR="004618D5" w:rsidRPr="004618D5">
        <w:rPr>
          <w:lang w:val="fr-FR"/>
        </w:rPr>
        <w:t>’</w:t>
      </w:r>
      <w:r w:rsidRPr="004618D5">
        <w:rPr>
          <w:lang w:val="fr-FR"/>
        </w:rPr>
        <w:t>ailleurs pas.</w:t>
      </w:r>
    </w:p>
    <w:p w:rsidR="00F665BD" w:rsidRPr="004618D5" w:rsidRDefault="0065487A"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83</w:t>
      </w:r>
      <w:r w:rsidRPr="004618D5">
        <w:rPr>
          <w:lang w:val="fr-FR"/>
        </w:rPr>
        <w:fldChar w:fldCharType="end"/>
      </w:r>
      <w:r w:rsidRPr="004618D5">
        <w:rPr>
          <w:lang w:val="fr-FR"/>
        </w:rPr>
        <w:t>.  Ce</w:t>
      </w:r>
      <w:r w:rsidR="00153AF1" w:rsidRPr="004618D5">
        <w:rPr>
          <w:lang w:val="fr-FR"/>
        </w:rPr>
        <w:t>la dit</w:t>
      </w:r>
      <w:r w:rsidRPr="004618D5">
        <w:rPr>
          <w:lang w:val="fr-FR"/>
        </w:rPr>
        <w:t>, la situation des requérants ne saur</w:t>
      </w:r>
      <w:r w:rsidR="00327029" w:rsidRPr="004618D5">
        <w:rPr>
          <w:lang w:val="fr-FR"/>
        </w:rPr>
        <w:t xml:space="preserve">ait </w:t>
      </w:r>
      <w:r w:rsidR="00153AF1" w:rsidRPr="004618D5">
        <w:rPr>
          <w:lang w:val="fr-FR"/>
        </w:rPr>
        <w:t xml:space="preserve">cependant </w:t>
      </w:r>
      <w:r w:rsidR="00327029" w:rsidRPr="004618D5">
        <w:rPr>
          <w:lang w:val="fr-FR"/>
        </w:rPr>
        <w:t xml:space="preserve">être considérée </w:t>
      </w:r>
      <w:r w:rsidR="00180606" w:rsidRPr="004618D5">
        <w:rPr>
          <w:lang w:val="fr-FR"/>
        </w:rPr>
        <w:t xml:space="preserve">comme </w:t>
      </w:r>
      <w:r w:rsidRPr="004618D5">
        <w:rPr>
          <w:lang w:val="fr-FR"/>
        </w:rPr>
        <w:t>analogue à celle d</w:t>
      </w:r>
      <w:r w:rsidR="004618D5" w:rsidRPr="004618D5">
        <w:rPr>
          <w:lang w:val="fr-FR"/>
        </w:rPr>
        <w:t>’</w:t>
      </w:r>
      <w:r w:rsidRPr="004618D5">
        <w:rPr>
          <w:lang w:val="fr-FR"/>
        </w:rPr>
        <w:t xml:space="preserve">un couple hétérosexuel non marié. </w:t>
      </w:r>
      <w:r w:rsidRPr="004618D5">
        <w:rPr>
          <w:rFonts w:cstheme="minorHAnsi"/>
          <w:lang w:val="fr-FR"/>
        </w:rPr>
        <w:t>À</w:t>
      </w:r>
      <w:r w:rsidRPr="004618D5">
        <w:rPr>
          <w:lang w:val="fr-FR"/>
        </w:rPr>
        <w:t xml:space="preserve"> la différence de ce dernier, les intéressés n</w:t>
      </w:r>
      <w:r w:rsidR="004618D5" w:rsidRPr="004618D5">
        <w:rPr>
          <w:lang w:val="fr-FR"/>
        </w:rPr>
        <w:t>’</w:t>
      </w:r>
      <w:r w:rsidRPr="004618D5">
        <w:rPr>
          <w:lang w:val="fr-FR"/>
        </w:rPr>
        <w:t>ont pas, en Italie, la possibilité de se marier</w:t>
      </w:r>
      <w:r w:rsidR="00576E83" w:rsidRPr="004618D5">
        <w:rPr>
          <w:lang w:val="fr-FR"/>
        </w:rPr>
        <w:t>. Ils ne peuvent donc pas</w:t>
      </w:r>
      <w:r w:rsidRPr="004618D5">
        <w:rPr>
          <w:lang w:val="fr-FR"/>
        </w:rPr>
        <w:t xml:space="preserve"> être qualifiés d</w:t>
      </w:r>
      <w:r w:rsidR="004618D5" w:rsidRPr="004618D5">
        <w:rPr>
          <w:lang w:val="fr-FR"/>
        </w:rPr>
        <w:t>’</w:t>
      </w:r>
      <w:r w:rsidRPr="004618D5">
        <w:rPr>
          <w:lang w:val="fr-FR"/>
        </w:rPr>
        <w:t xml:space="preserve">« époux » </w:t>
      </w:r>
      <w:r w:rsidR="00F665BD" w:rsidRPr="004618D5">
        <w:rPr>
          <w:lang w:val="fr-FR"/>
        </w:rPr>
        <w:t xml:space="preserve">selon le droit national. </w:t>
      </w:r>
      <w:r w:rsidR="00795680" w:rsidRPr="004618D5">
        <w:rPr>
          <w:lang w:val="fr-FR"/>
        </w:rPr>
        <w:t>Dès lors, une interprétation restrictive de la notion de « membre de la famille » ne constitue un obstacle insurmontable à l</w:t>
      </w:r>
      <w:r w:rsidR="004618D5" w:rsidRPr="004618D5">
        <w:rPr>
          <w:lang w:val="fr-FR"/>
        </w:rPr>
        <w:t>’</w:t>
      </w:r>
      <w:r w:rsidR="00795680" w:rsidRPr="004618D5">
        <w:rPr>
          <w:lang w:val="fr-FR"/>
        </w:rPr>
        <w:t xml:space="preserve">octroi du permis de séjour </w:t>
      </w:r>
      <w:r w:rsidR="00A75087" w:rsidRPr="004618D5">
        <w:rPr>
          <w:lang w:val="fr-FR"/>
        </w:rPr>
        <w:t>pour raison familiale</w:t>
      </w:r>
      <w:r w:rsidR="00795680" w:rsidRPr="004618D5">
        <w:rPr>
          <w:lang w:val="fr-FR"/>
        </w:rPr>
        <w:t xml:space="preserve"> que pour les couples homosexuels. </w:t>
      </w:r>
      <w:r w:rsidR="009653E7" w:rsidRPr="004618D5">
        <w:rPr>
          <w:lang w:val="fr-FR"/>
        </w:rPr>
        <w:t>C</w:t>
      </w:r>
      <w:r w:rsidR="00795680" w:rsidRPr="004618D5">
        <w:rPr>
          <w:lang w:val="fr-FR"/>
        </w:rPr>
        <w:t>es derniers</w:t>
      </w:r>
      <w:r w:rsidR="00F665BD" w:rsidRPr="004618D5">
        <w:rPr>
          <w:lang w:val="fr-FR"/>
        </w:rPr>
        <w:t xml:space="preserve"> ne </w:t>
      </w:r>
      <w:r w:rsidR="009653E7" w:rsidRPr="004618D5">
        <w:rPr>
          <w:lang w:val="fr-FR"/>
        </w:rPr>
        <w:t xml:space="preserve">pouvaient </w:t>
      </w:r>
      <w:r w:rsidR="00F665BD" w:rsidRPr="004618D5">
        <w:rPr>
          <w:lang w:val="fr-FR"/>
        </w:rPr>
        <w:t xml:space="preserve">pas </w:t>
      </w:r>
      <w:r w:rsidR="00A75087" w:rsidRPr="004618D5">
        <w:rPr>
          <w:lang w:val="fr-FR"/>
        </w:rPr>
        <w:t xml:space="preserve">non plus </w:t>
      </w:r>
      <w:r w:rsidR="00F665BD" w:rsidRPr="004618D5">
        <w:rPr>
          <w:lang w:val="fr-FR"/>
        </w:rPr>
        <w:t xml:space="preserve">obtenir un mode de reconnaissance juridique autre que le mariage, </w:t>
      </w:r>
      <w:r w:rsidR="009653E7" w:rsidRPr="004618D5">
        <w:rPr>
          <w:lang w:val="fr-FR"/>
        </w:rPr>
        <w:t>étant donné qu</w:t>
      </w:r>
      <w:r w:rsidR="004618D5" w:rsidRPr="004618D5">
        <w:rPr>
          <w:lang w:val="fr-FR"/>
        </w:rPr>
        <w:t>’</w:t>
      </w:r>
      <w:r w:rsidR="009653E7" w:rsidRPr="004618D5">
        <w:rPr>
          <w:lang w:val="fr-FR"/>
        </w:rPr>
        <w:t>à l</w:t>
      </w:r>
      <w:r w:rsidR="004618D5" w:rsidRPr="004618D5">
        <w:rPr>
          <w:lang w:val="fr-FR"/>
        </w:rPr>
        <w:t>’</w:t>
      </w:r>
      <w:r w:rsidR="009653E7" w:rsidRPr="004618D5">
        <w:rPr>
          <w:lang w:val="fr-FR"/>
        </w:rPr>
        <w:t xml:space="preserve">époque des faits, e </w:t>
      </w:r>
      <w:r w:rsidR="00F665BD" w:rsidRPr="004618D5">
        <w:rPr>
          <w:lang w:val="fr-FR"/>
        </w:rPr>
        <w:t xml:space="preserve">système juridique italien ne </w:t>
      </w:r>
      <w:r w:rsidR="009653E7" w:rsidRPr="004618D5">
        <w:rPr>
          <w:lang w:val="fr-FR"/>
        </w:rPr>
        <w:t xml:space="preserve">prévoyait </w:t>
      </w:r>
      <w:r w:rsidR="00F665BD" w:rsidRPr="004618D5">
        <w:rPr>
          <w:lang w:val="fr-FR"/>
        </w:rPr>
        <w:t>pas, pour les couples homosexuels ou hétérosexuels</w:t>
      </w:r>
      <w:r w:rsidR="00EC5E75" w:rsidRPr="004618D5">
        <w:rPr>
          <w:lang w:val="fr-FR"/>
        </w:rPr>
        <w:t xml:space="preserve"> engagés dans une relation stable</w:t>
      </w:r>
      <w:r w:rsidR="00F665BD" w:rsidRPr="004618D5">
        <w:rPr>
          <w:lang w:val="fr-FR"/>
        </w:rPr>
        <w:t xml:space="preserve">, la possibilité </w:t>
      </w:r>
      <w:r w:rsidR="00EC5E75" w:rsidRPr="004618D5">
        <w:rPr>
          <w:lang w:val="fr-FR"/>
        </w:rPr>
        <w:t>d</w:t>
      </w:r>
      <w:r w:rsidR="004618D5" w:rsidRPr="004618D5">
        <w:rPr>
          <w:lang w:val="fr-FR"/>
        </w:rPr>
        <w:t>’</w:t>
      </w:r>
      <w:r w:rsidR="00EC5E75" w:rsidRPr="004618D5">
        <w:rPr>
          <w:lang w:val="fr-FR"/>
        </w:rPr>
        <w:t>avoir accès à</w:t>
      </w:r>
      <w:r w:rsidR="00F665BD" w:rsidRPr="004618D5">
        <w:rPr>
          <w:lang w:val="fr-FR"/>
        </w:rPr>
        <w:t xml:space="preserve"> une union civi</w:t>
      </w:r>
      <w:r w:rsidR="00B02824" w:rsidRPr="004618D5">
        <w:rPr>
          <w:lang w:val="fr-FR"/>
        </w:rPr>
        <w:t>le ou</w:t>
      </w:r>
      <w:r w:rsidR="00EC5E75" w:rsidRPr="004618D5">
        <w:rPr>
          <w:lang w:val="fr-FR"/>
        </w:rPr>
        <w:t xml:space="preserve"> à</w:t>
      </w:r>
      <w:r w:rsidR="00B02824" w:rsidRPr="004618D5">
        <w:rPr>
          <w:lang w:val="fr-FR"/>
        </w:rPr>
        <w:t xml:space="preserve"> un partenaria</w:t>
      </w:r>
      <w:r w:rsidR="002C1F1C" w:rsidRPr="004618D5">
        <w:rPr>
          <w:lang w:val="fr-FR"/>
        </w:rPr>
        <w:t xml:space="preserve">t </w:t>
      </w:r>
      <w:r w:rsidR="0005647F" w:rsidRPr="004618D5">
        <w:rPr>
          <w:lang w:val="fr-FR"/>
        </w:rPr>
        <w:t xml:space="preserve">enregistré attestant leur statut et leur </w:t>
      </w:r>
      <w:r w:rsidR="0005647F" w:rsidRPr="004618D5">
        <w:rPr>
          <w:lang w:val="fr-FR"/>
        </w:rPr>
        <w:lastRenderedPageBreak/>
        <w:t>garantissant certains droits essentiels.</w:t>
      </w:r>
      <w:r w:rsidR="00B02824" w:rsidRPr="004618D5">
        <w:rPr>
          <w:lang w:val="fr-FR"/>
        </w:rPr>
        <w:t xml:space="preserve"> Par ailleurs, </w:t>
      </w:r>
      <w:r w:rsidR="00A75087" w:rsidRPr="004618D5">
        <w:rPr>
          <w:lang w:val="fr-FR"/>
        </w:rPr>
        <w:t xml:space="preserve">la Cour rappelle avoir indiqué </w:t>
      </w:r>
      <w:r w:rsidR="00B02824" w:rsidRPr="004618D5">
        <w:rPr>
          <w:lang w:val="fr-FR"/>
        </w:rPr>
        <w:t xml:space="preserve">dans son arrêt </w:t>
      </w:r>
      <w:r w:rsidR="00B02824" w:rsidRPr="004618D5">
        <w:rPr>
          <w:i/>
          <w:lang w:val="fr-FR"/>
        </w:rPr>
        <w:t>Oliari et autres</w:t>
      </w:r>
      <w:r w:rsidR="002C1F1C" w:rsidRPr="004618D5">
        <w:rPr>
          <w:lang w:val="fr-FR"/>
        </w:rPr>
        <w:t xml:space="preserve"> (</w:t>
      </w:r>
      <w:r w:rsidR="00103E8E" w:rsidRPr="004618D5">
        <w:rPr>
          <w:lang w:val="fr-FR"/>
        </w:rPr>
        <w:t>précité, §</w:t>
      </w:r>
      <w:r w:rsidR="00A75087" w:rsidRPr="004618D5">
        <w:rPr>
          <w:lang w:val="fr-FR"/>
        </w:rPr>
        <w:t> </w:t>
      </w:r>
      <w:r w:rsidR="00103E8E" w:rsidRPr="004618D5">
        <w:rPr>
          <w:lang w:val="fr-FR"/>
        </w:rPr>
        <w:t>170</w:t>
      </w:r>
      <w:r w:rsidR="002C1F1C" w:rsidRPr="004618D5">
        <w:rPr>
          <w:lang w:val="fr-FR"/>
        </w:rPr>
        <w:t>)</w:t>
      </w:r>
      <w:r w:rsidR="00A75087" w:rsidRPr="004618D5">
        <w:rPr>
          <w:lang w:val="fr-FR"/>
        </w:rPr>
        <w:t xml:space="preserve"> que, en </w:t>
      </w:r>
      <w:r w:rsidR="002C1F1C" w:rsidRPr="004618D5">
        <w:rPr>
          <w:lang w:val="fr-FR"/>
        </w:rPr>
        <w:t>dépit des développements de la jurisprudence interne en la matière (</w:t>
      </w:r>
      <w:r w:rsidR="00A75087" w:rsidRPr="004618D5">
        <w:rPr>
          <w:lang w:val="fr-FR"/>
        </w:rPr>
        <w:t xml:space="preserve">exposés </w:t>
      </w:r>
      <w:r w:rsidR="002C1F1C" w:rsidRPr="004618D5">
        <w:rPr>
          <w:lang w:val="fr-FR"/>
        </w:rPr>
        <w:t>par le</w:t>
      </w:r>
      <w:r w:rsidR="00EC5E75" w:rsidRPr="004618D5">
        <w:rPr>
          <w:lang w:val="fr-FR"/>
        </w:rPr>
        <w:t>s</w:t>
      </w:r>
      <w:r w:rsidR="002C1F1C" w:rsidRPr="004618D5">
        <w:rPr>
          <w:lang w:val="fr-FR"/>
        </w:rPr>
        <w:t xml:space="preserve"> </w:t>
      </w:r>
      <w:r w:rsidR="00EC5E75" w:rsidRPr="004618D5">
        <w:rPr>
          <w:lang w:val="fr-FR"/>
        </w:rPr>
        <w:t xml:space="preserve">parties </w:t>
      </w:r>
      <w:r w:rsidR="002C1F1C" w:rsidRPr="004618D5">
        <w:rPr>
          <w:lang w:val="fr-FR"/>
        </w:rPr>
        <w:t xml:space="preserve">dans la présente affaire – paragraphes </w:t>
      </w:r>
      <w:r w:rsidR="003C71B5" w:rsidRPr="004618D5">
        <w:rPr>
          <w:rFonts w:ascii="Times New Roman" w:hAnsi="Times New Roman" w:cs="Times New Roman"/>
          <w:szCs w:val="24"/>
          <w:lang w:val="fr-FR" w:eastAsia="en-GB"/>
        </w:rPr>
        <w:t>64</w:t>
      </w:r>
      <w:r w:rsidR="00EC5E75" w:rsidRPr="004618D5">
        <w:rPr>
          <w:lang w:val="fr-FR"/>
        </w:rPr>
        <w:t>,</w:t>
      </w:r>
      <w:r w:rsidR="002C1F1C" w:rsidRPr="004618D5">
        <w:rPr>
          <w:b/>
          <w:lang w:val="fr-FR"/>
        </w:rPr>
        <w:t xml:space="preserve"> </w:t>
      </w:r>
      <w:r w:rsidR="003C71B5" w:rsidRPr="004618D5">
        <w:rPr>
          <w:rFonts w:ascii="Times New Roman" w:hAnsi="Times New Roman" w:cs="Times New Roman"/>
          <w:szCs w:val="24"/>
          <w:lang w:val="fr-FR" w:eastAsia="en-GB"/>
        </w:rPr>
        <w:t>66</w:t>
      </w:r>
      <w:r w:rsidR="002C1F1C" w:rsidRPr="004618D5">
        <w:rPr>
          <w:lang w:val="fr-FR"/>
        </w:rPr>
        <w:t xml:space="preserve"> </w:t>
      </w:r>
      <w:r w:rsidR="00EC5E75" w:rsidRPr="004618D5">
        <w:rPr>
          <w:lang w:val="fr-FR"/>
        </w:rPr>
        <w:t xml:space="preserve">et </w:t>
      </w:r>
      <w:r w:rsidR="003C71B5" w:rsidRPr="004618D5">
        <w:rPr>
          <w:lang w:val="fr-FR"/>
        </w:rPr>
        <w:t>69</w:t>
      </w:r>
      <w:r w:rsidR="00EC5E75" w:rsidRPr="004618D5">
        <w:rPr>
          <w:lang w:val="fr-FR"/>
        </w:rPr>
        <w:t xml:space="preserve"> </w:t>
      </w:r>
      <w:r w:rsidR="002C1F1C" w:rsidRPr="004618D5">
        <w:rPr>
          <w:lang w:val="fr-FR"/>
        </w:rPr>
        <w:t>ci-dessus), la situation des couples d</w:t>
      </w:r>
      <w:r w:rsidR="002A0F29" w:rsidRPr="004618D5">
        <w:rPr>
          <w:lang w:val="fr-FR"/>
        </w:rPr>
        <w:t>e</w:t>
      </w:r>
      <w:r w:rsidR="002C1F1C" w:rsidRPr="004618D5">
        <w:rPr>
          <w:lang w:val="fr-FR"/>
        </w:rPr>
        <w:t xml:space="preserve"> même sexe </w:t>
      </w:r>
      <w:r w:rsidR="00A75087" w:rsidRPr="004618D5">
        <w:rPr>
          <w:lang w:val="fr-FR"/>
        </w:rPr>
        <w:t xml:space="preserve">en Italie </w:t>
      </w:r>
      <w:r w:rsidR="002C1F1C" w:rsidRPr="004618D5">
        <w:rPr>
          <w:lang w:val="fr-FR"/>
        </w:rPr>
        <w:t xml:space="preserve">demeurait incertaine dans </w:t>
      </w:r>
      <w:r w:rsidR="00103E8E" w:rsidRPr="004618D5">
        <w:rPr>
          <w:lang w:val="fr-FR"/>
        </w:rPr>
        <w:t>certains</w:t>
      </w:r>
      <w:r w:rsidR="002C1F1C" w:rsidRPr="004618D5">
        <w:rPr>
          <w:lang w:val="fr-FR"/>
        </w:rPr>
        <w:t xml:space="preserve"> domaines. En tout état de cause, </w:t>
      </w:r>
      <w:r w:rsidR="00A75087" w:rsidRPr="004618D5">
        <w:rPr>
          <w:lang w:val="fr-FR"/>
        </w:rPr>
        <w:t xml:space="preserve">la Cour observe que </w:t>
      </w:r>
      <w:r w:rsidR="002C1F1C" w:rsidRPr="004618D5">
        <w:rPr>
          <w:lang w:val="fr-FR"/>
        </w:rPr>
        <w:t>le Gouvernement n</w:t>
      </w:r>
      <w:r w:rsidR="004618D5" w:rsidRPr="004618D5">
        <w:rPr>
          <w:lang w:val="fr-FR"/>
        </w:rPr>
        <w:t>’</w:t>
      </w:r>
      <w:r w:rsidR="002C1F1C" w:rsidRPr="004618D5">
        <w:rPr>
          <w:lang w:val="fr-FR"/>
        </w:rPr>
        <w:t xml:space="preserve">a pas soutenu que </w:t>
      </w:r>
      <w:r w:rsidR="00B10024" w:rsidRPr="004618D5">
        <w:rPr>
          <w:lang w:val="fr-FR"/>
        </w:rPr>
        <w:t>l</w:t>
      </w:r>
      <w:r w:rsidR="002C1F1C" w:rsidRPr="004618D5">
        <w:rPr>
          <w:lang w:val="fr-FR"/>
        </w:rPr>
        <w:t xml:space="preserve">es développements </w:t>
      </w:r>
      <w:r w:rsidR="00B10024" w:rsidRPr="004618D5">
        <w:rPr>
          <w:lang w:val="fr-FR"/>
        </w:rPr>
        <w:t xml:space="preserve">en question </w:t>
      </w:r>
      <w:r w:rsidR="002C1F1C" w:rsidRPr="004618D5">
        <w:rPr>
          <w:lang w:val="fr-FR"/>
        </w:rPr>
        <w:t>allaient jusqu</w:t>
      </w:r>
      <w:r w:rsidR="004618D5" w:rsidRPr="004618D5">
        <w:rPr>
          <w:lang w:val="fr-FR"/>
        </w:rPr>
        <w:t>’</w:t>
      </w:r>
      <w:r w:rsidR="002C1F1C" w:rsidRPr="004618D5">
        <w:rPr>
          <w:lang w:val="fr-FR"/>
        </w:rPr>
        <w:t>à reconnaître, en matière d</w:t>
      </w:r>
      <w:r w:rsidR="004618D5" w:rsidRPr="004618D5">
        <w:rPr>
          <w:lang w:val="fr-FR"/>
        </w:rPr>
        <w:t>’</w:t>
      </w:r>
      <w:r w:rsidR="002C1F1C" w:rsidRPr="004618D5">
        <w:rPr>
          <w:lang w:val="fr-FR"/>
        </w:rPr>
        <w:t>immigration, un statut analogue à celui de l</w:t>
      </w:r>
      <w:r w:rsidR="004618D5" w:rsidRPr="004618D5">
        <w:rPr>
          <w:lang w:val="fr-FR"/>
        </w:rPr>
        <w:t>’</w:t>
      </w:r>
      <w:r w:rsidR="002C1F1C" w:rsidRPr="004618D5">
        <w:rPr>
          <w:lang w:val="fr-FR"/>
        </w:rPr>
        <w:t>« époux » aux membres d</w:t>
      </w:r>
      <w:r w:rsidR="004618D5" w:rsidRPr="004618D5">
        <w:rPr>
          <w:lang w:val="fr-FR"/>
        </w:rPr>
        <w:t>’</w:t>
      </w:r>
      <w:r w:rsidR="002C1F1C" w:rsidRPr="004618D5">
        <w:rPr>
          <w:lang w:val="fr-FR"/>
        </w:rPr>
        <w:t xml:space="preserve">une relation </w:t>
      </w:r>
      <w:r w:rsidR="003C2A67" w:rsidRPr="004618D5">
        <w:rPr>
          <w:lang w:val="fr-FR"/>
        </w:rPr>
        <w:t>homosexuelle stable et durable.</w:t>
      </w:r>
    </w:p>
    <w:p w:rsidR="002C1F1C" w:rsidRPr="004618D5" w:rsidRDefault="00103E8E"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84</w:t>
      </w:r>
      <w:r w:rsidRPr="004618D5">
        <w:rPr>
          <w:lang w:val="fr-FR"/>
        </w:rPr>
        <w:fldChar w:fldCharType="end"/>
      </w:r>
      <w:r w:rsidRPr="004618D5">
        <w:rPr>
          <w:lang w:val="fr-FR"/>
        </w:rPr>
        <w:t>.  </w:t>
      </w:r>
      <w:r w:rsidR="002C1F1C" w:rsidRPr="004618D5">
        <w:rPr>
          <w:lang w:val="fr-FR"/>
        </w:rPr>
        <w:t xml:space="preserve">La Cour note également </w:t>
      </w:r>
      <w:r w:rsidR="00045C89" w:rsidRPr="004618D5">
        <w:rPr>
          <w:lang w:val="fr-FR"/>
        </w:rPr>
        <w:t>que les requérants avaient obtenu le statut de couple non</w:t>
      </w:r>
      <w:r w:rsidR="00A75087" w:rsidRPr="004618D5">
        <w:rPr>
          <w:lang w:val="fr-FR"/>
        </w:rPr>
        <w:t xml:space="preserve"> </w:t>
      </w:r>
      <w:r w:rsidR="00045C89" w:rsidRPr="004618D5">
        <w:rPr>
          <w:lang w:val="fr-FR"/>
        </w:rPr>
        <w:t>marié en Nouvelle</w:t>
      </w:r>
      <w:r w:rsidR="00A75087" w:rsidRPr="004618D5">
        <w:rPr>
          <w:lang w:val="fr-FR"/>
        </w:rPr>
        <w:t>-</w:t>
      </w:r>
      <w:r w:rsidR="00045C89" w:rsidRPr="004618D5">
        <w:rPr>
          <w:lang w:val="fr-FR"/>
        </w:rPr>
        <w:t xml:space="preserve">Zélande (paragraphe </w:t>
      </w:r>
      <w:r w:rsidR="003C71B5" w:rsidRPr="004618D5">
        <w:rPr>
          <w:lang w:val="fr-FR"/>
        </w:rPr>
        <w:t>8</w:t>
      </w:r>
      <w:r w:rsidR="00045C89" w:rsidRPr="004618D5">
        <w:rPr>
          <w:lang w:val="fr-FR"/>
        </w:rPr>
        <w:t xml:space="preserve"> ci-dessus) et </w:t>
      </w:r>
      <w:r w:rsidR="002C1F1C" w:rsidRPr="004618D5">
        <w:rPr>
          <w:lang w:val="fr-FR"/>
        </w:rPr>
        <w:t>que, une fois installés dans un État reconnaissant le droit au mariage entre personnes d</w:t>
      </w:r>
      <w:r w:rsidR="002A0F29" w:rsidRPr="004618D5">
        <w:rPr>
          <w:lang w:val="fr-FR"/>
        </w:rPr>
        <w:t>e</w:t>
      </w:r>
      <w:r w:rsidR="002C1F1C" w:rsidRPr="004618D5">
        <w:rPr>
          <w:lang w:val="fr-FR"/>
        </w:rPr>
        <w:t xml:space="preserve"> même sexe (les Pays-Bas)</w:t>
      </w:r>
      <w:r w:rsidR="00E53475" w:rsidRPr="004618D5">
        <w:rPr>
          <w:lang w:val="fr-FR"/>
        </w:rPr>
        <w:t xml:space="preserve">, </w:t>
      </w:r>
      <w:r w:rsidR="00045C89" w:rsidRPr="004618D5">
        <w:rPr>
          <w:lang w:val="fr-FR"/>
        </w:rPr>
        <w:t>ils</w:t>
      </w:r>
      <w:r w:rsidR="00E53475" w:rsidRPr="004618D5">
        <w:rPr>
          <w:lang w:val="fr-FR"/>
        </w:rPr>
        <w:t xml:space="preserve"> </w:t>
      </w:r>
      <w:r w:rsidR="00576E83" w:rsidRPr="004618D5">
        <w:rPr>
          <w:lang w:val="fr-FR"/>
        </w:rPr>
        <w:t>o</w:t>
      </w:r>
      <w:r w:rsidR="00A75087" w:rsidRPr="004618D5">
        <w:rPr>
          <w:lang w:val="fr-FR"/>
        </w:rPr>
        <w:t xml:space="preserve">nt </w:t>
      </w:r>
      <w:r w:rsidR="00E53475" w:rsidRPr="004618D5">
        <w:rPr>
          <w:lang w:val="fr-FR"/>
        </w:rPr>
        <w:t>décidé de se marier (paragraphe</w:t>
      </w:r>
      <w:r w:rsidR="000861A9" w:rsidRPr="004618D5">
        <w:rPr>
          <w:lang w:val="fr-FR"/>
        </w:rPr>
        <w:t> </w:t>
      </w:r>
      <w:r w:rsidR="003C71B5" w:rsidRPr="004618D5">
        <w:rPr>
          <w:lang w:val="fr-FR"/>
        </w:rPr>
        <w:t>25</w:t>
      </w:r>
      <w:r w:rsidR="00E53475" w:rsidRPr="004618D5">
        <w:rPr>
          <w:b/>
          <w:lang w:val="fr-FR"/>
        </w:rPr>
        <w:t xml:space="preserve"> </w:t>
      </w:r>
      <w:r w:rsidR="00E53475" w:rsidRPr="004618D5">
        <w:rPr>
          <w:lang w:val="fr-FR"/>
        </w:rPr>
        <w:t>ci-dessus). Dès lors, leur situation ne saurait</w:t>
      </w:r>
      <w:r w:rsidR="00C3448E" w:rsidRPr="004618D5">
        <w:rPr>
          <w:lang w:val="fr-FR"/>
        </w:rPr>
        <w:t xml:space="preserve"> pas</w:t>
      </w:r>
      <w:r w:rsidR="00E53475" w:rsidRPr="004618D5">
        <w:rPr>
          <w:lang w:val="fr-FR"/>
        </w:rPr>
        <w:t xml:space="preserve"> non plus être comparée à celle d</w:t>
      </w:r>
      <w:r w:rsidR="004618D5" w:rsidRPr="004618D5">
        <w:rPr>
          <w:lang w:val="fr-FR"/>
        </w:rPr>
        <w:t>’</w:t>
      </w:r>
      <w:r w:rsidR="00E53475" w:rsidRPr="004618D5">
        <w:rPr>
          <w:lang w:val="fr-FR"/>
        </w:rPr>
        <w:t>un couple hétérosexuel qui, pour des raisons d</w:t>
      </w:r>
      <w:r w:rsidR="004618D5" w:rsidRPr="004618D5">
        <w:rPr>
          <w:lang w:val="fr-FR"/>
        </w:rPr>
        <w:t>’</w:t>
      </w:r>
      <w:r w:rsidR="00E53475" w:rsidRPr="004618D5">
        <w:rPr>
          <w:lang w:val="fr-FR"/>
        </w:rPr>
        <w:t xml:space="preserve">ordre personnel, ne souhaite pas </w:t>
      </w:r>
      <w:r w:rsidR="00C3448E" w:rsidRPr="004618D5">
        <w:rPr>
          <w:lang w:val="fr-FR"/>
        </w:rPr>
        <w:t>s</w:t>
      </w:r>
      <w:r w:rsidR="004618D5" w:rsidRPr="004618D5">
        <w:rPr>
          <w:lang w:val="fr-FR"/>
        </w:rPr>
        <w:t>’</w:t>
      </w:r>
      <w:r w:rsidR="00C3448E" w:rsidRPr="004618D5">
        <w:rPr>
          <w:lang w:val="fr-FR"/>
        </w:rPr>
        <w:t>engager dans</w:t>
      </w:r>
      <w:r w:rsidR="00E53475" w:rsidRPr="004618D5">
        <w:rPr>
          <w:lang w:val="fr-FR"/>
        </w:rPr>
        <w:t xml:space="preserve"> un mariage ou </w:t>
      </w:r>
      <w:r w:rsidR="00C3448E" w:rsidRPr="004618D5">
        <w:rPr>
          <w:lang w:val="fr-FR"/>
        </w:rPr>
        <w:t>dans une union</w:t>
      </w:r>
      <w:r w:rsidR="00E53475" w:rsidRPr="004618D5">
        <w:rPr>
          <w:lang w:val="fr-FR"/>
        </w:rPr>
        <w:t xml:space="preserve"> civil</w:t>
      </w:r>
      <w:r w:rsidR="00C3448E" w:rsidRPr="004618D5">
        <w:rPr>
          <w:lang w:val="fr-FR"/>
        </w:rPr>
        <w:t>e</w:t>
      </w:r>
      <w:r w:rsidR="00E53475" w:rsidRPr="004618D5">
        <w:rPr>
          <w:lang w:val="fr-FR"/>
        </w:rPr>
        <w:t>.</w:t>
      </w:r>
    </w:p>
    <w:p w:rsidR="00E53475" w:rsidRPr="004618D5" w:rsidRDefault="00103E8E"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85</w:t>
      </w:r>
      <w:r w:rsidRPr="004618D5">
        <w:rPr>
          <w:lang w:val="fr-FR"/>
        </w:rPr>
        <w:fldChar w:fldCharType="end"/>
      </w:r>
      <w:r w:rsidRPr="004618D5">
        <w:rPr>
          <w:lang w:val="fr-FR"/>
        </w:rPr>
        <w:t>.  </w:t>
      </w:r>
      <w:r w:rsidR="00E53475" w:rsidRPr="004618D5">
        <w:rPr>
          <w:lang w:val="fr-FR"/>
        </w:rPr>
        <w:t>L</w:t>
      </w:r>
      <w:r w:rsidR="004618D5" w:rsidRPr="004618D5">
        <w:rPr>
          <w:lang w:val="fr-FR"/>
        </w:rPr>
        <w:t>’</w:t>
      </w:r>
      <w:r w:rsidR="00E53475" w:rsidRPr="004618D5">
        <w:rPr>
          <w:lang w:val="fr-FR"/>
        </w:rPr>
        <w:t>ensemble des considérations qui précèdent amènent la Cour à conclure que les requérants, un couple homosexuel, ont été traités</w:t>
      </w:r>
      <w:r w:rsidR="00E43F03" w:rsidRPr="004618D5">
        <w:rPr>
          <w:lang w:val="fr-FR"/>
        </w:rPr>
        <w:t xml:space="preserve">, </w:t>
      </w:r>
      <w:r w:rsidR="00153AF1" w:rsidRPr="004618D5">
        <w:rPr>
          <w:lang w:val="fr-FR"/>
        </w:rPr>
        <w:t>en ce qui concerne</w:t>
      </w:r>
      <w:r w:rsidR="00E43F03" w:rsidRPr="004618D5">
        <w:rPr>
          <w:lang w:val="fr-FR"/>
        </w:rPr>
        <w:t xml:space="preserve"> l</w:t>
      </w:r>
      <w:r w:rsidR="004618D5" w:rsidRPr="004618D5">
        <w:rPr>
          <w:lang w:val="fr-FR"/>
        </w:rPr>
        <w:t>’</w:t>
      </w:r>
      <w:r w:rsidR="00E43F03" w:rsidRPr="004618D5">
        <w:rPr>
          <w:lang w:val="fr-FR"/>
        </w:rPr>
        <w:t>octroi d</w:t>
      </w:r>
      <w:r w:rsidR="004618D5" w:rsidRPr="004618D5">
        <w:rPr>
          <w:lang w:val="fr-FR"/>
        </w:rPr>
        <w:t>’</w:t>
      </w:r>
      <w:r w:rsidR="00B10024" w:rsidRPr="004618D5">
        <w:rPr>
          <w:lang w:val="fr-FR"/>
        </w:rPr>
        <w:t>un</w:t>
      </w:r>
      <w:r w:rsidR="00E43F03" w:rsidRPr="004618D5">
        <w:rPr>
          <w:lang w:val="fr-FR"/>
        </w:rPr>
        <w:t xml:space="preserve"> permis de séjour </w:t>
      </w:r>
      <w:r w:rsidR="00A75087" w:rsidRPr="004618D5">
        <w:rPr>
          <w:lang w:val="fr-FR"/>
        </w:rPr>
        <w:t>pour raison familiale</w:t>
      </w:r>
      <w:r w:rsidR="00E43F03" w:rsidRPr="004618D5">
        <w:rPr>
          <w:lang w:val="fr-FR"/>
        </w:rPr>
        <w:t>,</w:t>
      </w:r>
      <w:r w:rsidR="00E53475" w:rsidRPr="004618D5">
        <w:rPr>
          <w:lang w:val="fr-FR"/>
        </w:rPr>
        <w:t xml:space="preserve"> </w:t>
      </w:r>
      <w:r w:rsidR="00153AF1" w:rsidRPr="004618D5">
        <w:rPr>
          <w:lang w:val="fr-FR"/>
        </w:rPr>
        <w:t>de la même façon que</w:t>
      </w:r>
      <w:r w:rsidR="00E53475" w:rsidRPr="004618D5">
        <w:rPr>
          <w:lang w:val="fr-FR"/>
        </w:rPr>
        <w:t xml:space="preserve"> </w:t>
      </w:r>
      <w:r w:rsidR="00A75087" w:rsidRPr="004618D5">
        <w:rPr>
          <w:lang w:val="fr-FR"/>
        </w:rPr>
        <w:t>des</w:t>
      </w:r>
      <w:r w:rsidR="00E53475" w:rsidRPr="004618D5">
        <w:rPr>
          <w:lang w:val="fr-FR"/>
        </w:rPr>
        <w:t xml:space="preserve"> personnes se trouvant dans une situation sensiblement différente</w:t>
      </w:r>
      <w:r w:rsidR="00576E83" w:rsidRPr="004618D5">
        <w:rPr>
          <w:lang w:val="fr-FR"/>
        </w:rPr>
        <w:t xml:space="preserve"> de la leur</w:t>
      </w:r>
      <w:r w:rsidR="00153AF1" w:rsidRPr="004618D5">
        <w:rPr>
          <w:lang w:val="fr-FR"/>
        </w:rPr>
        <w:t xml:space="preserve"> – à savoir des partenaires hétérosexuels ayant décidé de ne pas </w:t>
      </w:r>
      <w:r w:rsidR="009653E7" w:rsidRPr="004618D5">
        <w:rPr>
          <w:lang w:val="fr-FR"/>
        </w:rPr>
        <w:t>régulariser leur situation</w:t>
      </w:r>
      <w:r w:rsidR="00E53475" w:rsidRPr="004618D5">
        <w:rPr>
          <w:lang w:val="fr-FR"/>
        </w:rPr>
        <w:t>.</w:t>
      </w:r>
    </w:p>
    <w:p w:rsidR="00B6397F" w:rsidRPr="004618D5" w:rsidRDefault="00103E8E"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86</w:t>
      </w:r>
      <w:r w:rsidRPr="004618D5">
        <w:rPr>
          <w:lang w:val="fr-FR"/>
        </w:rPr>
        <w:fldChar w:fldCharType="end"/>
      </w:r>
      <w:r w:rsidRPr="004618D5">
        <w:rPr>
          <w:lang w:val="fr-FR"/>
        </w:rPr>
        <w:t>.  </w:t>
      </w:r>
      <w:r w:rsidR="00E53475" w:rsidRPr="004618D5">
        <w:rPr>
          <w:lang w:val="fr-FR"/>
        </w:rPr>
        <w:t xml:space="preserve">Il reste à établir si </w:t>
      </w:r>
      <w:r w:rsidR="00A75087" w:rsidRPr="004618D5">
        <w:rPr>
          <w:lang w:val="fr-FR"/>
        </w:rPr>
        <w:t xml:space="preserve">le fait ne pas avoir appliqué </w:t>
      </w:r>
      <w:r w:rsidR="00E53475" w:rsidRPr="004618D5">
        <w:rPr>
          <w:lang w:val="fr-FR"/>
        </w:rPr>
        <w:t>un traitement différen</w:t>
      </w:r>
      <w:r w:rsidR="00180354" w:rsidRPr="004618D5">
        <w:rPr>
          <w:lang w:val="fr-FR"/>
        </w:rPr>
        <w:t>cié</w:t>
      </w:r>
      <w:r w:rsidR="00E53475" w:rsidRPr="004618D5">
        <w:rPr>
          <w:lang w:val="fr-FR"/>
        </w:rPr>
        <w:t xml:space="preserve"> en l</w:t>
      </w:r>
      <w:r w:rsidR="004618D5" w:rsidRPr="004618D5">
        <w:rPr>
          <w:lang w:val="fr-FR"/>
        </w:rPr>
        <w:t>’</w:t>
      </w:r>
      <w:r w:rsidR="00E53475" w:rsidRPr="004618D5">
        <w:rPr>
          <w:lang w:val="fr-FR"/>
        </w:rPr>
        <w:t>espèce pouvait se justifier sous l</w:t>
      </w:r>
      <w:r w:rsidR="004618D5" w:rsidRPr="004618D5">
        <w:rPr>
          <w:lang w:val="fr-FR"/>
        </w:rPr>
        <w:t>’</w:t>
      </w:r>
      <w:r w:rsidR="00E53475" w:rsidRPr="004618D5">
        <w:rPr>
          <w:lang w:val="fr-FR"/>
        </w:rPr>
        <w:t>angle de l</w:t>
      </w:r>
      <w:r w:rsidR="004618D5" w:rsidRPr="004618D5">
        <w:rPr>
          <w:lang w:val="fr-FR"/>
        </w:rPr>
        <w:t>’</w:t>
      </w:r>
      <w:r w:rsidR="00E53475" w:rsidRPr="004618D5">
        <w:rPr>
          <w:lang w:val="fr-FR"/>
        </w:rPr>
        <w:t>article 14 de la Convention.</w:t>
      </w:r>
    </w:p>
    <w:p w:rsidR="00B6397F" w:rsidRPr="004618D5" w:rsidRDefault="006A7614" w:rsidP="004618D5">
      <w:pPr>
        <w:pStyle w:val="ECHRHeading5"/>
        <w:rPr>
          <w:lang w:val="fr-FR"/>
        </w:rPr>
      </w:pPr>
      <w:r w:rsidRPr="004618D5">
        <w:rPr>
          <w:lang w:val="fr-FR"/>
        </w:rPr>
        <w:t>ii.</w:t>
      </w:r>
      <w:r w:rsidR="006A0012" w:rsidRPr="004618D5">
        <w:rPr>
          <w:lang w:val="fr-FR"/>
        </w:rPr>
        <w:t>  Sur le point de savoir s</w:t>
      </w:r>
      <w:r w:rsidR="004618D5" w:rsidRPr="004618D5">
        <w:rPr>
          <w:lang w:val="fr-FR"/>
        </w:rPr>
        <w:t>’</w:t>
      </w:r>
      <w:r w:rsidR="006A0012" w:rsidRPr="004618D5">
        <w:rPr>
          <w:lang w:val="fr-FR"/>
        </w:rPr>
        <w:t>il existait une justification objective et raisonnable</w:t>
      </w:r>
    </w:p>
    <w:p w:rsidR="00B6397F" w:rsidRPr="004618D5" w:rsidRDefault="006A7614" w:rsidP="004618D5">
      <w:pPr>
        <w:pStyle w:val="ECHRHeading6"/>
        <w:rPr>
          <w:i w:val="0"/>
          <w:lang w:val="fr-FR"/>
        </w:rPr>
      </w:pPr>
      <w:r w:rsidRPr="004618D5">
        <w:rPr>
          <w:rFonts w:cstheme="majorHAnsi"/>
          <w:i w:val="0"/>
          <w:lang w:val="fr-FR"/>
        </w:rPr>
        <w:t>α</w:t>
      </w:r>
      <w:r w:rsidRPr="004618D5">
        <w:rPr>
          <w:i w:val="0"/>
          <w:lang w:val="fr-FR"/>
        </w:rPr>
        <w:t>)</w:t>
      </w:r>
      <w:r w:rsidR="00945B3E" w:rsidRPr="004618D5">
        <w:rPr>
          <w:i w:val="0"/>
          <w:lang w:val="fr-FR"/>
        </w:rPr>
        <w:t> </w:t>
      </w:r>
      <w:r w:rsidR="00A23404" w:rsidRPr="004618D5">
        <w:rPr>
          <w:i w:val="0"/>
          <w:lang w:val="fr-FR"/>
        </w:rPr>
        <w:t> </w:t>
      </w:r>
      <w:r w:rsidR="00945B3E" w:rsidRPr="004618D5">
        <w:rPr>
          <w:i w:val="0"/>
          <w:lang w:val="fr-FR"/>
        </w:rPr>
        <w:t>P</w:t>
      </w:r>
      <w:r w:rsidR="00AE2113" w:rsidRPr="004618D5">
        <w:rPr>
          <w:i w:val="0"/>
          <w:lang w:val="fr-FR"/>
        </w:rPr>
        <w:t>rincipes généraux</w:t>
      </w:r>
    </w:p>
    <w:p w:rsidR="00B6397F" w:rsidRPr="004618D5" w:rsidRDefault="006A0012"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87</w:t>
      </w:r>
      <w:r w:rsidRPr="004618D5">
        <w:rPr>
          <w:lang w:val="fr-FR"/>
        </w:rPr>
        <w:fldChar w:fldCharType="end"/>
      </w:r>
      <w:r w:rsidRPr="004618D5">
        <w:rPr>
          <w:lang w:val="fr-FR"/>
        </w:rPr>
        <w:t>.  </w:t>
      </w:r>
      <w:r w:rsidR="00DD6BB6" w:rsidRPr="004618D5">
        <w:rPr>
          <w:lang w:val="fr-FR"/>
        </w:rPr>
        <w:t>La Cour rappelle qu</w:t>
      </w:r>
      <w:r w:rsidR="004618D5" w:rsidRPr="004618D5">
        <w:rPr>
          <w:lang w:val="fr-FR"/>
        </w:rPr>
        <w:t>’</w:t>
      </w:r>
      <w:r w:rsidR="00DD6BB6" w:rsidRPr="004618D5">
        <w:rPr>
          <w:lang w:val="fr-FR"/>
        </w:rPr>
        <w:t xml:space="preserve">une différence de traitement de situations analogues ou un traitement </w:t>
      </w:r>
      <w:r w:rsidR="005703DA" w:rsidRPr="004618D5">
        <w:rPr>
          <w:lang w:val="fr-FR"/>
        </w:rPr>
        <w:t>comparable</w:t>
      </w:r>
      <w:r w:rsidR="00DD6BB6" w:rsidRPr="004618D5">
        <w:rPr>
          <w:lang w:val="fr-FR"/>
        </w:rPr>
        <w:t xml:space="preserve"> de situations différentes sont discriminatoires s</w:t>
      </w:r>
      <w:r w:rsidR="004618D5" w:rsidRPr="004618D5">
        <w:rPr>
          <w:lang w:val="fr-FR"/>
        </w:rPr>
        <w:t>’</w:t>
      </w:r>
      <w:r w:rsidR="00DD6BB6" w:rsidRPr="004618D5">
        <w:rPr>
          <w:lang w:val="fr-FR"/>
        </w:rPr>
        <w:t>ils ne reposent pas sur une justification objective et raisonnable, c</w:t>
      </w:r>
      <w:r w:rsidR="004618D5" w:rsidRPr="004618D5">
        <w:rPr>
          <w:lang w:val="fr-FR"/>
        </w:rPr>
        <w:t>’</w:t>
      </w:r>
      <w:r w:rsidR="00DD6BB6" w:rsidRPr="004618D5">
        <w:rPr>
          <w:lang w:val="fr-FR"/>
        </w:rPr>
        <w:t>est-à-dire s</w:t>
      </w:r>
      <w:r w:rsidR="004618D5" w:rsidRPr="004618D5">
        <w:rPr>
          <w:lang w:val="fr-FR"/>
        </w:rPr>
        <w:t>’</w:t>
      </w:r>
      <w:r w:rsidR="00DD6BB6" w:rsidRPr="004618D5">
        <w:rPr>
          <w:lang w:val="fr-FR"/>
        </w:rPr>
        <w:t>ils ne poursuivent pas un but légitime ou s</w:t>
      </w:r>
      <w:r w:rsidR="004618D5" w:rsidRPr="004618D5">
        <w:rPr>
          <w:lang w:val="fr-FR"/>
        </w:rPr>
        <w:t>’</w:t>
      </w:r>
      <w:r w:rsidR="00DD6BB6" w:rsidRPr="004618D5">
        <w:rPr>
          <w:lang w:val="fr-FR"/>
        </w:rPr>
        <w:t>il n</w:t>
      </w:r>
      <w:r w:rsidR="004618D5" w:rsidRPr="004618D5">
        <w:rPr>
          <w:lang w:val="fr-FR"/>
        </w:rPr>
        <w:t>’</w:t>
      </w:r>
      <w:r w:rsidR="00DD6BB6" w:rsidRPr="004618D5">
        <w:rPr>
          <w:lang w:val="fr-FR"/>
        </w:rPr>
        <w:t>y a pas un rapport raisonnable de proportionnalité entre les moyens employés et le but visé (</w:t>
      </w:r>
      <w:r w:rsidR="00F61974" w:rsidRPr="004618D5">
        <w:rPr>
          <w:lang w:val="fr-FR"/>
        </w:rPr>
        <w:t xml:space="preserve">voir, </w:t>
      </w:r>
      <w:r w:rsidR="00F61974" w:rsidRPr="004618D5">
        <w:rPr>
          <w:i/>
          <w:lang w:val="fr-FR"/>
        </w:rPr>
        <w:t>mutatis mutandis</w:t>
      </w:r>
      <w:r w:rsidR="00F61974" w:rsidRPr="004618D5">
        <w:rPr>
          <w:lang w:val="fr-FR"/>
        </w:rPr>
        <w:t>,</w:t>
      </w:r>
      <w:r w:rsidR="00F61974" w:rsidRPr="004618D5">
        <w:rPr>
          <w:i/>
          <w:lang w:val="fr-FR"/>
        </w:rPr>
        <w:t xml:space="preserve"> </w:t>
      </w:r>
      <w:r w:rsidR="00DD6BB6" w:rsidRPr="004618D5">
        <w:rPr>
          <w:i/>
          <w:lang w:val="fr-FR"/>
        </w:rPr>
        <w:t>Hämäläinen</w:t>
      </w:r>
      <w:r w:rsidR="00DD6BB6" w:rsidRPr="004618D5">
        <w:rPr>
          <w:lang w:val="fr-FR"/>
        </w:rPr>
        <w:t xml:space="preserve">, précité, § 108). </w:t>
      </w:r>
      <w:r w:rsidR="008253BA" w:rsidRPr="004618D5">
        <w:rPr>
          <w:lang w:val="fr-FR"/>
        </w:rPr>
        <w:t>De plus,</w:t>
      </w:r>
      <w:r w:rsidR="00C6471C" w:rsidRPr="004618D5">
        <w:rPr>
          <w:lang w:val="fr-FR"/>
        </w:rPr>
        <w:t xml:space="preserve"> l</w:t>
      </w:r>
      <w:r w:rsidR="004618D5" w:rsidRPr="004618D5">
        <w:rPr>
          <w:lang w:val="fr-FR"/>
        </w:rPr>
        <w:t>’</w:t>
      </w:r>
      <w:r w:rsidR="00C6471C" w:rsidRPr="004618D5">
        <w:rPr>
          <w:lang w:val="fr-FR"/>
        </w:rPr>
        <w:t>interdiction de discrimination consacrée par l</w:t>
      </w:r>
      <w:r w:rsidR="004618D5" w:rsidRPr="004618D5">
        <w:rPr>
          <w:lang w:val="fr-FR"/>
        </w:rPr>
        <w:t>’</w:t>
      </w:r>
      <w:r w:rsidR="00C6471C" w:rsidRPr="004618D5">
        <w:rPr>
          <w:lang w:val="fr-FR"/>
        </w:rPr>
        <w:t>article 14 de la Convention n</w:t>
      </w:r>
      <w:r w:rsidR="004618D5" w:rsidRPr="004618D5">
        <w:rPr>
          <w:lang w:val="fr-FR"/>
        </w:rPr>
        <w:t>’</w:t>
      </w:r>
      <w:r w:rsidR="00C6471C" w:rsidRPr="004618D5">
        <w:rPr>
          <w:lang w:val="fr-FR"/>
        </w:rPr>
        <w:t>a de sens que si, dans chaque cas particulier, la situation personnelle du requérant par rapport aux critères énumérés dans cette disposition est prise en compte telle quelle. Une approche contraire viderait l</w:t>
      </w:r>
      <w:r w:rsidR="004618D5" w:rsidRPr="004618D5">
        <w:rPr>
          <w:lang w:val="fr-FR"/>
        </w:rPr>
        <w:t>’</w:t>
      </w:r>
      <w:r w:rsidR="00C6471C" w:rsidRPr="004618D5">
        <w:rPr>
          <w:lang w:val="fr-FR"/>
        </w:rPr>
        <w:t>article 14 de sa substance (</w:t>
      </w:r>
      <w:r w:rsidR="00576E83" w:rsidRPr="004618D5">
        <w:rPr>
          <w:i/>
          <w:lang w:val="fr-FR"/>
        </w:rPr>
        <w:t xml:space="preserve">Andrejeva c. Lettonie </w:t>
      </w:r>
      <w:r w:rsidR="00576E83" w:rsidRPr="004618D5">
        <w:rPr>
          <w:lang w:val="fr-FR"/>
        </w:rPr>
        <w:t>[GC], n</w:t>
      </w:r>
      <w:r w:rsidR="00B55B33" w:rsidRPr="004618D5">
        <w:rPr>
          <w:vertAlign w:val="superscript"/>
          <w:lang w:val="fr-FR"/>
        </w:rPr>
        <w:t>o</w:t>
      </w:r>
      <w:r w:rsidR="00576E83" w:rsidRPr="004618D5">
        <w:rPr>
          <w:lang w:val="fr-FR"/>
        </w:rPr>
        <w:t> 55707/00, § 91, CEDH 2009</w:t>
      </w:r>
      <w:r w:rsidR="00AF632C" w:rsidRPr="004618D5">
        <w:rPr>
          <w:lang w:val="fr-FR"/>
        </w:rPr>
        <w:t>)</w:t>
      </w:r>
      <w:r w:rsidR="00C6471C" w:rsidRPr="004618D5">
        <w:rPr>
          <w:lang w:val="fr-FR"/>
        </w:rPr>
        <w:t>.</w:t>
      </w:r>
    </w:p>
    <w:p w:rsidR="00D42149" w:rsidRPr="004618D5" w:rsidRDefault="00CB49E2"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88</w:t>
      </w:r>
      <w:r w:rsidRPr="004618D5">
        <w:rPr>
          <w:lang w:val="fr-FR"/>
        </w:rPr>
        <w:fldChar w:fldCharType="end"/>
      </w:r>
      <w:r w:rsidRPr="004618D5">
        <w:rPr>
          <w:lang w:val="fr-FR"/>
        </w:rPr>
        <w:t>.  L</w:t>
      </w:r>
      <w:r w:rsidR="00DD6BB6" w:rsidRPr="004618D5">
        <w:rPr>
          <w:lang w:val="fr-FR"/>
        </w:rPr>
        <w:t>es États contractants jouissent d</w:t>
      </w:r>
      <w:r w:rsidR="004618D5" w:rsidRPr="004618D5">
        <w:rPr>
          <w:lang w:val="fr-FR"/>
        </w:rPr>
        <w:t>’</w:t>
      </w:r>
      <w:r w:rsidR="00DD6BB6" w:rsidRPr="004618D5">
        <w:rPr>
          <w:lang w:val="fr-FR"/>
        </w:rPr>
        <w:t>une certaine marge d</w:t>
      </w:r>
      <w:r w:rsidR="004618D5" w:rsidRPr="004618D5">
        <w:rPr>
          <w:lang w:val="fr-FR"/>
        </w:rPr>
        <w:t>’</w:t>
      </w:r>
      <w:r w:rsidR="00DD6BB6" w:rsidRPr="004618D5">
        <w:rPr>
          <w:lang w:val="fr-FR"/>
        </w:rPr>
        <w:t>appréciation pour déterminer si et dans quelle mesure des distinctions de traitement</w:t>
      </w:r>
      <w:r w:rsidR="00F07B7E" w:rsidRPr="004618D5">
        <w:rPr>
          <w:lang w:val="fr-FR"/>
        </w:rPr>
        <w:t xml:space="preserve"> se justifient</w:t>
      </w:r>
      <w:r w:rsidR="00DD6BB6" w:rsidRPr="004618D5">
        <w:rPr>
          <w:lang w:val="fr-FR"/>
        </w:rPr>
        <w:t xml:space="preserve"> (</w:t>
      </w:r>
      <w:r w:rsidR="00F07B7E" w:rsidRPr="004618D5">
        <w:rPr>
          <w:lang w:val="fr-FR"/>
        </w:rPr>
        <w:t xml:space="preserve">voir, </w:t>
      </w:r>
      <w:r w:rsidR="00F07B7E" w:rsidRPr="004618D5">
        <w:rPr>
          <w:i/>
          <w:lang w:val="fr-FR"/>
        </w:rPr>
        <w:t>mutatis mutandis</w:t>
      </w:r>
      <w:r w:rsidR="00F07B7E" w:rsidRPr="004618D5">
        <w:rPr>
          <w:lang w:val="fr-FR"/>
        </w:rPr>
        <w:t>,</w:t>
      </w:r>
      <w:r w:rsidR="00F07B7E" w:rsidRPr="004618D5">
        <w:rPr>
          <w:i/>
          <w:lang w:val="fr-FR"/>
        </w:rPr>
        <w:t xml:space="preserve"> </w:t>
      </w:r>
      <w:r w:rsidR="00DD6BB6" w:rsidRPr="004618D5">
        <w:rPr>
          <w:i/>
          <w:lang w:val="fr-FR"/>
        </w:rPr>
        <w:t>Burden c.</w:t>
      </w:r>
      <w:r w:rsidR="00F07B7E" w:rsidRPr="004618D5">
        <w:rPr>
          <w:i/>
          <w:lang w:val="fr-FR"/>
        </w:rPr>
        <w:t> </w:t>
      </w:r>
      <w:r w:rsidR="00DD6BB6" w:rsidRPr="004618D5">
        <w:rPr>
          <w:i/>
          <w:lang w:val="fr-FR"/>
        </w:rPr>
        <w:t>Royaume-Uni</w:t>
      </w:r>
      <w:r w:rsidR="00DD6BB6" w:rsidRPr="004618D5">
        <w:rPr>
          <w:lang w:val="fr-FR"/>
        </w:rPr>
        <w:t xml:space="preserve"> [GC], </w:t>
      </w:r>
      <w:r w:rsidR="00DD6BB6" w:rsidRPr="004618D5">
        <w:rPr>
          <w:lang w:val="fr-FR"/>
        </w:rPr>
        <w:lastRenderedPageBreak/>
        <w:t>n</w:t>
      </w:r>
      <w:r w:rsidR="00B55B33" w:rsidRPr="004618D5">
        <w:rPr>
          <w:vertAlign w:val="superscript"/>
          <w:lang w:val="fr-FR"/>
        </w:rPr>
        <w:t>o</w:t>
      </w:r>
      <w:r w:rsidR="00F07B7E" w:rsidRPr="004618D5">
        <w:rPr>
          <w:lang w:val="fr-FR"/>
        </w:rPr>
        <w:t> </w:t>
      </w:r>
      <w:r w:rsidR="0081767F" w:rsidRPr="004618D5">
        <w:rPr>
          <w:lang w:val="fr-FR"/>
        </w:rPr>
        <w:t>13378/05</w:t>
      </w:r>
      <w:r w:rsidR="00DD6BB6" w:rsidRPr="004618D5">
        <w:rPr>
          <w:lang w:val="fr-FR"/>
        </w:rPr>
        <w:t>, § 60, CEDH 2008</w:t>
      </w:r>
      <w:r w:rsidR="00F07B7E" w:rsidRPr="004618D5">
        <w:rPr>
          <w:lang w:val="fr-FR"/>
        </w:rPr>
        <w:t xml:space="preserve">, et </w:t>
      </w:r>
      <w:r w:rsidR="00F07B7E" w:rsidRPr="004618D5">
        <w:rPr>
          <w:i/>
          <w:lang w:val="fr-FR"/>
        </w:rPr>
        <w:t>Schalk et Kopf</w:t>
      </w:r>
      <w:r w:rsidR="00F07B7E" w:rsidRPr="004618D5">
        <w:rPr>
          <w:lang w:val="fr-FR"/>
        </w:rPr>
        <w:t>, précité, § 96</w:t>
      </w:r>
      <w:r w:rsidR="00DD6BB6" w:rsidRPr="004618D5">
        <w:rPr>
          <w:lang w:val="fr-FR"/>
        </w:rPr>
        <w:t xml:space="preserve">). </w:t>
      </w:r>
      <w:r w:rsidRPr="004618D5">
        <w:rPr>
          <w:lang w:val="fr-FR"/>
        </w:rPr>
        <w:t>L</w:t>
      </w:r>
      <w:r w:rsidR="004618D5" w:rsidRPr="004618D5">
        <w:rPr>
          <w:lang w:val="fr-FR"/>
        </w:rPr>
        <w:t>’</w:t>
      </w:r>
      <w:r w:rsidRPr="004618D5">
        <w:rPr>
          <w:lang w:val="fr-FR"/>
        </w:rPr>
        <w:t>étendue de cette marge varie selon les circonstances, le domaine et le contexte</w:t>
      </w:r>
      <w:r w:rsidR="00D7321A" w:rsidRPr="004618D5">
        <w:rPr>
          <w:lang w:val="fr-FR"/>
        </w:rPr>
        <w:t> </w:t>
      </w:r>
      <w:r w:rsidRPr="004618D5">
        <w:rPr>
          <w:lang w:val="fr-FR"/>
        </w:rPr>
        <w:t>; la présence ou l</w:t>
      </w:r>
      <w:r w:rsidR="004618D5" w:rsidRPr="004618D5">
        <w:rPr>
          <w:lang w:val="fr-FR"/>
        </w:rPr>
        <w:t>’</w:t>
      </w:r>
      <w:r w:rsidRPr="004618D5">
        <w:rPr>
          <w:lang w:val="fr-FR"/>
        </w:rPr>
        <w:t>absence d</w:t>
      </w:r>
      <w:r w:rsidR="004618D5" w:rsidRPr="004618D5">
        <w:rPr>
          <w:lang w:val="fr-FR"/>
        </w:rPr>
        <w:t>’</w:t>
      </w:r>
      <w:r w:rsidRPr="004618D5">
        <w:rPr>
          <w:lang w:val="fr-FR"/>
        </w:rPr>
        <w:t>un dénominateur commun aux systèmes juridiques des États contractants peut constituer un facteur pertinent à cet égard (</w:t>
      </w:r>
      <w:r w:rsidRPr="004618D5">
        <w:rPr>
          <w:i/>
          <w:lang w:val="fr-FR"/>
        </w:rPr>
        <w:t>Petrovic c. Autriche</w:t>
      </w:r>
      <w:r w:rsidRPr="004618D5">
        <w:rPr>
          <w:lang w:val="fr-FR"/>
        </w:rPr>
        <w:t xml:space="preserve">, 27 mars 1998, § 38, </w:t>
      </w:r>
      <w:r w:rsidRPr="004618D5">
        <w:rPr>
          <w:i/>
          <w:lang w:val="fr-FR"/>
        </w:rPr>
        <w:t>Recueil</w:t>
      </w:r>
      <w:r w:rsidRPr="004618D5">
        <w:rPr>
          <w:lang w:val="fr-FR"/>
        </w:rPr>
        <w:t xml:space="preserve"> 1998</w:t>
      </w:r>
      <w:r w:rsidRPr="004618D5">
        <w:rPr>
          <w:lang w:val="fr-FR"/>
        </w:rPr>
        <w:noBreakHyphen/>
        <w:t xml:space="preserve">II, et </w:t>
      </w:r>
      <w:r w:rsidRPr="004618D5">
        <w:rPr>
          <w:i/>
          <w:lang w:val="fr-FR"/>
        </w:rPr>
        <w:t>Hämäläinen</w:t>
      </w:r>
      <w:r w:rsidRPr="004618D5">
        <w:rPr>
          <w:lang w:val="fr-FR"/>
        </w:rPr>
        <w:t>, précité, § 109).</w:t>
      </w:r>
    </w:p>
    <w:p w:rsidR="00147525" w:rsidRPr="004618D5" w:rsidRDefault="00F07B7E"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89</w:t>
      </w:r>
      <w:r w:rsidRPr="004618D5">
        <w:rPr>
          <w:lang w:val="fr-FR"/>
        </w:rPr>
        <w:fldChar w:fldCharType="end"/>
      </w:r>
      <w:r w:rsidRPr="004618D5">
        <w:rPr>
          <w:lang w:val="fr-FR"/>
        </w:rPr>
        <w:t>.  </w:t>
      </w:r>
      <w:r w:rsidR="00A75087" w:rsidRPr="004618D5">
        <w:rPr>
          <w:lang w:val="fr-FR"/>
        </w:rPr>
        <w:t xml:space="preserve">La Cour rappelle </w:t>
      </w:r>
      <w:r w:rsidR="00AD3208" w:rsidRPr="004618D5">
        <w:rPr>
          <w:lang w:val="fr-FR"/>
        </w:rPr>
        <w:t xml:space="preserve">encore </w:t>
      </w:r>
      <w:r w:rsidR="00A75087" w:rsidRPr="004618D5">
        <w:rPr>
          <w:lang w:val="fr-FR"/>
        </w:rPr>
        <w:t>que l</w:t>
      </w:r>
      <w:r w:rsidR="004618D5" w:rsidRPr="004618D5">
        <w:rPr>
          <w:lang w:val="fr-FR"/>
        </w:rPr>
        <w:t>’</w:t>
      </w:r>
      <w:r w:rsidRPr="004618D5">
        <w:rPr>
          <w:lang w:val="fr-FR"/>
        </w:rPr>
        <w:t>orientation sexuelle relève du champ d</w:t>
      </w:r>
      <w:r w:rsidR="004618D5" w:rsidRPr="004618D5">
        <w:rPr>
          <w:lang w:val="fr-FR"/>
        </w:rPr>
        <w:t>’</w:t>
      </w:r>
      <w:r w:rsidRPr="004618D5">
        <w:rPr>
          <w:lang w:val="fr-FR"/>
        </w:rPr>
        <w:t>application de l</w:t>
      </w:r>
      <w:r w:rsidR="004618D5" w:rsidRPr="004618D5">
        <w:rPr>
          <w:lang w:val="fr-FR"/>
        </w:rPr>
        <w:t>’</w:t>
      </w:r>
      <w:r w:rsidRPr="004618D5">
        <w:rPr>
          <w:lang w:val="fr-FR"/>
        </w:rPr>
        <w:t>article 14</w:t>
      </w:r>
      <w:r w:rsidR="00CB49E2" w:rsidRPr="004618D5">
        <w:rPr>
          <w:lang w:val="fr-FR"/>
        </w:rPr>
        <w:t xml:space="preserve">. </w:t>
      </w:r>
      <w:r w:rsidR="00A75087" w:rsidRPr="004618D5">
        <w:rPr>
          <w:lang w:val="fr-FR"/>
        </w:rPr>
        <w:t>Elle</w:t>
      </w:r>
      <w:r w:rsidR="00CB49E2" w:rsidRPr="004618D5">
        <w:rPr>
          <w:lang w:val="fr-FR"/>
        </w:rPr>
        <w:t xml:space="preserve"> a maintes fois déclaré que, comme les différences fondées sur le sexe, celles fondées sur l</w:t>
      </w:r>
      <w:r w:rsidR="004618D5" w:rsidRPr="004618D5">
        <w:rPr>
          <w:lang w:val="fr-FR"/>
        </w:rPr>
        <w:t>’</w:t>
      </w:r>
      <w:r w:rsidR="00CB49E2" w:rsidRPr="004618D5">
        <w:rPr>
          <w:lang w:val="fr-FR"/>
        </w:rPr>
        <w:t>orientation sexuelle doivent être justifiées par des motifs impérieux ou, autre formule parfois utilisée, par des « raisons particulièrement solides et convaincantes »</w:t>
      </w:r>
      <w:r w:rsidRPr="004618D5">
        <w:rPr>
          <w:lang w:val="fr-FR"/>
        </w:rPr>
        <w:t xml:space="preserve"> (</w:t>
      </w:r>
      <w:r w:rsidRPr="004618D5">
        <w:rPr>
          <w:i/>
          <w:lang w:val="fr-FR"/>
        </w:rPr>
        <w:t>X et autres c. Autriche</w:t>
      </w:r>
      <w:r w:rsidRPr="004618D5">
        <w:rPr>
          <w:lang w:val="fr-FR"/>
        </w:rPr>
        <w:t>, précité, § 99</w:t>
      </w:r>
      <w:r w:rsidR="00A75087" w:rsidRPr="004618D5">
        <w:rPr>
          <w:lang w:val="fr-FR"/>
        </w:rPr>
        <w:t> ;</w:t>
      </w:r>
      <w:r w:rsidR="00CB49E2" w:rsidRPr="004618D5">
        <w:rPr>
          <w:lang w:val="fr-FR"/>
        </w:rPr>
        <w:t xml:space="preserve"> </w:t>
      </w:r>
      <w:r w:rsidR="00082CAF" w:rsidRPr="004618D5">
        <w:rPr>
          <w:lang w:val="fr-FR"/>
        </w:rPr>
        <w:t xml:space="preserve">voir, par exemple, </w:t>
      </w:r>
      <w:r w:rsidR="00DD6BB6" w:rsidRPr="004618D5">
        <w:rPr>
          <w:i/>
          <w:lang w:val="fr-FR"/>
        </w:rPr>
        <w:t>Smith et Grady c.</w:t>
      </w:r>
      <w:r w:rsidR="005840D0" w:rsidRPr="004618D5">
        <w:rPr>
          <w:i/>
          <w:lang w:val="fr-FR"/>
        </w:rPr>
        <w:t> </w:t>
      </w:r>
      <w:r w:rsidR="00DD6BB6" w:rsidRPr="004618D5">
        <w:rPr>
          <w:i/>
          <w:lang w:val="fr-FR"/>
        </w:rPr>
        <w:t>Royaume-Uni</w:t>
      </w:r>
      <w:r w:rsidR="00DD6BB6" w:rsidRPr="004618D5">
        <w:rPr>
          <w:lang w:val="fr-FR"/>
        </w:rPr>
        <w:t>, n</w:t>
      </w:r>
      <w:r w:rsidR="00DD6BB6" w:rsidRPr="004618D5">
        <w:rPr>
          <w:vertAlign w:val="superscript"/>
          <w:lang w:val="fr-FR"/>
        </w:rPr>
        <w:t>os</w:t>
      </w:r>
      <w:r w:rsidR="00DD6BB6" w:rsidRPr="004618D5">
        <w:rPr>
          <w:lang w:val="fr-FR"/>
        </w:rPr>
        <w:t xml:space="preserve"> </w:t>
      </w:r>
      <w:r w:rsidR="0081767F" w:rsidRPr="004618D5">
        <w:rPr>
          <w:lang w:val="fr-FR"/>
        </w:rPr>
        <w:t>33985/96</w:t>
      </w:r>
      <w:r w:rsidR="00DD6BB6" w:rsidRPr="004618D5">
        <w:rPr>
          <w:lang w:val="fr-FR"/>
        </w:rPr>
        <w:t xml:space="preserve"> et </w:t>
      </w:r>
      <w:r w:rsidR="0081767F" w:rsidRPr="004618D5">
        <w:rPr>
          <w:lang w:val="fr-FR"/>
        </w:rPr>
        <w:t>33986/96</w:t>
      </w:r>
      <w:r w:rsidR="00DD6BB6" w:rsidRPr="004618D5">
        <w:rPr>
          <w:lang w:val="fr-FR"/>
        </w:rPr>
        <w:t>, § 90, CEDH 1999</w:t>
      </w:r>
      <w:r w:rsidR="00DD6BB6" w:rsidRPr="004618D5">
        <w:rPr>
          <w:lang w:val="fr-FR"/>
        </w:rPr>
        <w:noBreakHyphen/>
        <w:t>VI</w:t>
      </w:r>
      <w:r w:rsidR="00A75087" w:rsidRPr="004618D5">
        <w:rPr>
          <w:lang w:val="fr-FR"/>
        </w:rPr>
        <w:t>,</w:t>
      </w:r>
      <w:r w:rsidR="00DD6BB6" w:rsidRPr="004618D5">
        <w:rPr>
          <w:lang w:val="fr-FR"/>
        </w:rPr>
        <w:t xml:space="preserve"> </w:t>
      </w:r>
      <w:r w:rsidR="004618D5" w:rsidRPr="004618D5">
        <w:rPr>
          <w:i/>
          <w:lang w:val="fr-FR"/>
        </w:rPr>
        <w:t>Lustig</w:t>
      </w:r>
      <w:r w:rsidR="004618D5" w:rsidRPr="004618D5">
        <w:rPr>
          <w:i/>
          <w:lang w:val="fr-FR"/>
        </w:rPr>
        <w:noBreakHyphen/>
      </w:r>
      <w:r w:rsidR="00082CAF" w:rsidRPr="004618D5">
        <w:rPr>
          <w:i/>
          <w:lang w:val="fr-FR"/>
        </w:rPr>
        <w:t>Prean et Beckett c. Royaume-Uni</w:t>
      </w:r>
      <w:r w:rsidR="00082CAF" w:rsidRPr="004618D5">
        <w:rPr>
          <w:lang w:val="fr-FR"/>
        </w:rPr>
        <w:t>, n</w:t>
      </w:r>
      <w:r w:rsidR="00082CAF" w:rsidRPr="004618D5">
        <w:rPr>
          <w:vertAlign w:val="superscript"/>
          <w:lang w:val="fr-FR"/>
        </w:rPr>
        <w:t>os</w:t>
      </w:r>
      <w:r w:rsidR="00082CAF" w:rsidRPr="004618D5">
        <w:rPr>
          <w:lang w:val="fr-FR"/>
        </w:rPr>
        <w:t xml:space="preserve"> 31417/96 et 32377/96, § 82, 27</w:t>
      </w:r>
      <w:r w:rsidR="00A75087" w:rsidRPr="004618D5">
        <w:rPr>
          <w:lang w:val="fr-FR"/>
        </w:rPr>
        <w:t> </w:t>
      </w:r>
      <w:r w:rsidR="00082CAF" w:rsidRPr="004618D5">
        <w:rPr>
          <w:lang w:val="fr-FR"/>
        </w:rPr>
        <w:t>septembre 1999</w:t>
      </w:r>
      <w:r w:rsidR="00A75087" w:rsidRPr="004618D5">
        <w:rPr>
          <w:lang w:val="fr-FR"/>
        </w:rPr>
        <w:t>,</w:t>
      </w:r>
      <w:r w:rsidR="00082CAF" w:rsidRPr="004618D5">
        <w:rPr>
          <w:lang w:val="fr-FR"/>
        </w:rPr>
        <w:t xml:space="preserve"> </w:t>
      </w:r>
      <w:r w:rsidR="00DD6BB6" w:rsidRPr="004618D5">
        <w:rPr>
          <w:i/>
          <w:lang w:val="fr-FR"/>
        </w:rPr>
        <w:t>L. et V. c. Autriche</w:t>
      </w:r>
      <w:r w:rsidR="00DD6BB6" w:rsidRPr="004618D5">
        <w:rPr>
          <w:lang w:val="fr-FR"/>
        </w:rPr>
        <w:t>, n</w:t>
      </w:r>
      <w:r w:rsidR="00DD6BB6" w:rsidRPr="004618D5">
        <w:rPr>
          <w:vertAlign w:val="superscript"/>
          <w:lang w:val="fr-FR"/>
        </w:rPr>
        <w:t>os</w:t>
      </w:r>
      <w:r w:rsidR="00CB49E2" w:rsidRPr="004618D5">
        <w:rPr>
          <w:vertAlign w:val="superscript"/>
          <w:lang w:val="fr-FR"/>
        </w:rPr>
        <w:t> </w:t>
      </w:r>
      <w:r w:rsidR="0081767F" w:rsidRPr="004618D5">
        <w:rPr>
          <w:lang w:val="fr-FR"/>
        </w:rPr>
        <w:t>39392/98</w:t>
      </w:r>
      <w:r w:rsidR="00DD6BB6" w:rsidRPr="004618D5">
        <w:rPr>
          <w:lang w:val="fr-FR"/>
        </w:rPr>
        <w:t xml:space="preserve"> et </w:t>
      </w:r>
      <w:r w:rsidR="0081767F" w:rsidRPr="004618D5">
        <w:rPr>
          <w:lang w:val="fr-FR"/>
        </w:rPr>
        <w:t>398</w:t>
      </w:r>
      <w:r w:rsidR="00082CAF" w:rsidRPr="004618D5">
        <w:rPr>
          <w:lang w:val="fr-FR"/>
        </w:rPr>
        <w:t>29/98</w:t>
      </w:r>
      <w:r w:rsidR="00DD6BB6" w:rsidRPr="004618D5">
        <w:rPr>
          <w:lang w:val="fr-FR"/>
        </w:rPr>
        <w:t>, §</w:t>
      </w:r>
      <w:r w:rsidR="00B17927" w:rsidRPr="004618D5">
        <w:rPr>
          <w:lang w:val="fr-FR"/>
        </w:rPr>
        <w:t> </w:t>
      </w:r>
      <w:r w:rsidR="00DD6BB6" w:rsidRPr="004618D5">
        <w:rPr>
          <w:lang w:val="fr-FR"/>
        </w:rPr>
        <w:t>45, CEDH 2003</w:t>
      </w:r>
      <w:r w:rsidR="00DD6BB6" w:rsidRPr="004618D5">
        <w:rPr>
          <w:lang w:val="fr-FR"/>
        </w:rPr>
        <w:noBreakHyphen/>
        <w:t>I</w:t>
      </w:r>
      <w:r w:rsidR="00A75087" w:rsidRPr="004618D5">
        <w:rPr>
          <w:lang w:val="fr-FR"/>
        </w:rPr>
        <w:t>,</w:t>
      </w:r>
      <w:r w:rsidR="00DD6BB6" w:rsidRPr="004618D5">
        <w:rPr>
          <w:lang w:val="fr-FR"/>
        </w:rPr>
        <w:t xml:space="preserve"> </w:t>
      </w:r>
      <w:r w:rsidR="00CB49E2" w:rsidRPr="004618D5">
        <w:rPr>
          <w:i/>
          <w:lang w:val="fr-FR"/>
        </w:rPr>
        <w:t>E.B. c. France</w:t>
      </w:r>
      <w:r w:rsidR="00CB49E2" w:rsidRPr="004618D5">
        <w:rPr>
          <w:lang w:val="fr-FR"/>
        </w:rPr>
        <w:t>, précité, § 91</w:t>
      </w:r>
      <w:r w:rsidR="00A75087" w:rsidRPr="004618D5">
        <w:rPr>
          <w:lang w:val="fr-FR"/>
        </w:rPr>
        <w:t>,</w:t>
      </w:r>
      <w:r w:rsidR="00CB49E2" w:rsidRPr="004618D5">
        <w:rPr>
          <w:lang w:val="fr-FR"/>
        </w:rPr>
        <w:t xml:space="preserve"> </w:t>
      </w:r>
      <w:r w:rsidR="00DD6BB6" w:rsidRPr="004618D5">
        <w:rPr>
          <w:i/>
          <w:lang w:val="fr-FR"/>
        </w:rPr>
        <w:t>Karner</w:t>
      </w:r>
      <w:r w:rsidR="00DD6BB6" w:rsidRPr="004618D5">
        <w:rPr>
          <w:lang w:val="fr-FR"/>
        </w:rPr>
        <w:t>,</w:t>
      </w:r>
      <w:r w:rsidR="00082CAF" w:rsidRPr="004618D5">
        <w:rPr>
          <w:lang w:val="fr-FR"/>
        </w:rPr>
        <w:t xml:space="preserve"> précité</w:t>
      </w:r>
      <w:r w:rsidR="00DD6BB6" w:rsidRPr="004618D5">
        <w:rPr>
          <w:lang w:val="fr-FR"/>
        </w:rPr>
        <w:t xml:space="preserve"> § 37</w:t>
      </w:r>
      <w:r w:rsidR="00A75087" w:rsidRPr="004618D5">
        <w:rPr>
          <w:lang w:val="fr-FR"/>
        </w:rPr>
        <w:t>,</w:t>
      </w:r>
      <w:r w:rsidR="00DD6BB6" w:rsidRPr="004618D5">
        <w:rPr>
          <w:lang w:val="fr-FR"/>
        </w:rPr>
        <w:t xml:space="preserve"> et </w:t>
      </w:r>
      <w:r w:rsidR="00DD6BB6" w:rsidRPr="004618D5">
        <w:rPr>
          <w:i/>
          <w:lang w:val="fr-FR"/>
        </w:rPr>
        <w:t>Vallianatos et autres</w:t>
      </w:r>
      <w:r w:rsidR="00DD6BB6" w:rsidRPr="004618D5">
        <w:rPr>
          <w:lang w:val="fr-FR"/>
        </w:rPr>
        <w:t>, précité, § 77)</w:t>
      </w:r>
      <w:r w:rsidR="00082CAF" w:rsidRPr="004618D5">
        <w:rPr>
          <w:lang w:val="fr-FR"/>
        </w:rPr>
        <w:t>, notamment lorsqu</w:t>
      </w:r>
      <w:r w:rsidR="004618D5" w:rsidRPr="004618D5">
        <w:rPr>
          <w:lang w:val="fr-FR"/>
        </w:rPr>
        <w:t>’</w:t>
      </w:r>
      <w:r w:rsidR="00082CAF" w:rsidRPr="004618D5">
        <w:rPr>
          <w:lang w:val="fr-FR"/>
        </w:rPr>
        <w:t>il s</w:t>
      </w:r>
      <w:r w:rsidR="004618D5" w:rsidRPr="004618D5">
        <w:rPr>
          <w:lang w:val="fr-FR"/>
        </w:rPr>
        <w:t>’</w:t>
      </w:r>
      <w:r w:rsidR="00082CAF" w:rsidRPr="004618D5">
        <w:rPr>
          <w:lang w:val="fr-FR"/>
        </w:rPr>
        <w:t>agit de droits tombant sous l</w:t>
      </w:r>
      <w:r w:rsidR="004618D5" w:rsidRPr="004618D5">
        <w:rPr>
          <w:lang w:val="fr-FR"/>
        </w:rPr>
        <w:t>’</w:t>
      </w:r>
      <w:r w:rsidR="00082CAF" w:rsidRPr="004618D5">
        <w:rPr>
          <w:lang w:val="fr-FR"/>
        </w:rPr>
        <w:t>empire de l</w:t>
      </w:r>
      <w:r w:rsidR="004618D5" w:rsidRPr="004618D5">
        <w:rPr>
          <w:lang w:val="fr-FR"/>
        </w:rPr>
        <w:t>’</w:t>
      </w:r>
      <w:r w:rsidR="00082CAF" w:rsidRPr="004618D5">
        <w:rPr>
          <w:lang w:val="fr-FR"/>
        </w:rPr>
        <w:t>article 8</w:t>
      </w:r>
      <w:r w:rsidR="00DD6BB6" w:rsidRPr="004618D5">
        <w:rPr>
          <w:lang w:val="fr-FR"/>
        </w:rPr>
        <w:t>.</w:t>
      </w:r>
      <w:r w:rsidR="00CB49E2" w:rsidRPr="004618D5">
        <w:rPr>
          <w:lang w:val="fr-FR"/>
        </w:rPr>
        <w:t xml:space="preserve"> Les différences motivées uniquement par des considérations tenant à l</w:t>
      </w:r>
      <w:r w:rsidR="004618D5" w:rsidRPr="004618D5">
        <w:rPr>
          <w:lang w:val="fr-FR"/>
        </w:rPr>
        <w:t>’</w:t>
      </w:r>
      <w:r w:rsidR="00CB49E2" w:rsidRPr="004618D5">
        <w:rPr>
          <w:lang w:val="fr-FR"/>
        </w:rPr>
        <w:t>orientation sexuelle sont inacceptables au regard de la Convention (</w:t>
      </w:r>
      <w:r w:rsidR="00F61974" w:rsidRPr="004618D5">
        <w:rPr>
          <w:i/>
          <w:lang w:val="fr-FR"/>
        </w:rPr>
        <w:t>Salgueiro da Silva Mouta c. Portugal</w:t>
      </w:r>
      <w:r w:rsidR="00F61974" w:rsidRPr="004618D5">
        <w:rPr>
          <w:lang w:val="fr-FR"/>
        </w:rPr>
        <w:t>, n</w:t>
      </w:r>
      <w:r w:rsidR="00F61974" w:rsidRPr="004618D5">
        <w:rPr>
          <w:vertAlign w:val="superscript"/>
          <w:lang w:val="fr-FR"/>
        </w:rPr>
        <w:t>o </w:t>
      </w:r>
      <w:r w:rsidR="00F61974" w:rsidRPr="004618D5">
        <w:rPr>
          <w:lang w:val="fr-FR"/>
        </w:rPr>
        <w:t>33290/96, § 36, CEDH 1999</w:t>
      </w:r>
      <w:r w:rsidR="00F61974" w:rsidRPr="004618D5">
        <w:rPr>
          <w:lang w:val="fr-FR"/>
        </w:rPr>
        <w:noBreakHyphen/>
        <w:t>IX</w:t>
      </w:r>
      <w:r w:rsidR="00A505F6" w:rsidRPr="004618D5">
        <w:rPr>
          <w:lang w:val="fr-FR"/>
        </w:rPr>
        <w:t>,</w:t>
      </w:r>
      <w:r w:rsidR="00F61974" w:rsidRPr="004618D5">
        <w:rPr>
          <w:i/>
          <w:lang w:val="fr-FR"/>
        </w:rPr>
        <w:t xml:space="preserve"> </w:t>
      </w:r>
      <w:r w:rsidR="00CB49E2" w:rsidRPr="004618D5">
        <w:rPr>
          <w:i/>
          <w:lang w:val="fr-FR"/>
        </w:rPr>
        <w:t>E.B. c. France</w:t>
      </w:r>
      <w:r w:rsidR="00CB49E2" w:rsidRPr="004618D5">
        <w:rPr>
          <w:lang w:val="fr-FR"/>
        </w:rPr>
        <w:t>, précité, §§ 93 et 96</w:t>
      </w:r>
      <w:r w:rsidR="00A505F6" w:rsidRPr="004618D5">
        <w:rPr>
          <w:lang w:val="fr-FR"/>
        </w:rPr>
        <w:t>,</w:t>
      </w:r>
      <w:r w:rsidR="00E02047" w:rsidRPr="004618D5">
        <w:rPr>
          <w:lang w:val="fr-FR"/>
        </w:rPr>
        <w:t xml:space="preserve"> et</w:t>
      </w:r>
      <w:r w:rsidR="00CB49E2" w:rsidRPr="004618D5">
        <w:rPr>
          <w:lang w:val="fr-FR"/>
        </w:rPr>
        <w:t xml:space="preserve"> </w:t>
      </w:r>
      <w:r w:rsidR="00342AED" w:rsidRPr="004618D5">
        <w:rPr>
          <w:i/>
          <w:lang w:val="fr-FR"/>
        </w:rPr>
        <w:t>X </w:t>
      </w:r>
      <w:r w:rsidR="00CB49E2" w:rsidRPr="004618D5">
        <w:rPr>
          <w:i/>
          <w:lang w:val="fr-FR"/>
        </w:rPr>
        <w:t>et autres c. Autriche</w:t>
      </w:r>
      <w:r w:rsidR="00CB49E2" w:rsidRPr="004618D5">
        <w:rPr>
          <w:lang w:val="fr-FR"/>
        </w:rPr>
        <w:t xml:space="preserve">, précité, </w:t>
      </w:r>
      <w:r w:rsidR="00A505F6" w:rsidRPr="004618D5">
        <w:rPr>
          <w:lang w:val="fr-FR"/>
        </w:rPr>
        <w:t>§ 99</w:t>
      </w:r>
      <w:r w:rsidR="00CB49E2" w:rsidRPr="004618D5">
        <w:rPr>
          <w:lang w:val="fr-FR"/>
        </w:rPr>
        <w:t>).</w:t>
      </w:r>
    </w:p>
    <w:p w:rsidR="00B26FC7" w:rsidRPr="004618D5" w:rsidRDefault="0082540F"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90</w:t>
      </w:r>
      <w:r w:rsidRPr="004618D5">
        <w:rPr>
          <w:lang w:val="fr-FR"/>
        </w:rPr>
        <w:fldChar w:fldCharType="end"/>
      </w:r>
      <w:r w:rsidRPr="004618D5">
        <w:rPr>
          <w:lang w:val="fr-FR"/>
        </w:rPr>
        <w:t>.  </w:t>
      </w:r>
      <w:r w:rsidR="00C6471C" w:rsidRPr="004618D5">
        <w:rPr>
          <w:lang w:val="fr-FR"/>
        </w:rPr>
        <w:t>Enfin, en ce qui concerne la charge de la preuve sur le terrain de l</w:t>
      </w:r>
      <w:r w:rsidR="004618D5" w:rsidRPr="004618D5">
        <w:rPr>
          <w:lang w:val="fr-FR"/>
        </w:rPr>
        <w:t>’</w:t>
      </w:r>
      <w:r w:rsidR="00C6471C" w:rsidRPr="004618D5">
        <w:rPr>
          <w:lang w:val="fr-FR"/>
        </w:rPr>
        <w:t xml:space="preserve">article 14 de la Convention, la Cour </w:t>
      </w:r>
      <w:r w:rsidRPr="004618D5">
        <w:rPr>
          <w:lang w:val="fr-FR"/>
        </w:rPr>
        <w:t>considère</w:t>
      </w:r>
      <w:r w:rsidR="00C6471C" w:rsidRPr="004618D5">
        <w:rPr>
          <w:lang w:val="fr-FR"/>
        </w:rPr>
        <w:t xml:space="preserve"> que, lorsqu</w:t>
      </w:r>
      <w:r w:rsidR="004618D5" w:rsidRPr="004618D5">
        <w:rPr>
          <w:lang w:val="fr-FR"/>
        </w:rPr>
        <w:t>’</w:t>
      </w:r>
      <w:r w:rsidR="00C6471C" w:rsidRPr="004618D5">
        <w:rPr>
          <w:lang w:val="fr-FR"/>
        </w:rPr>
        <w:t>un requérant a établi l</w:t>
      </w:r>
      <w:r w:rsidR="004618D5" w:rsidRPr="004618D5">
        <w:rPr>
          <w:lang w:val="fr-FR"/>
        </w:rPr>
        <w:t>’</w:t>
      </w:r>
      <w:r w:rsidR="00C6471C" w:rsidRPr="004618D5">
        <w:rPr>
          <w:lang w:val="fr-FR"/>
        </w:rPr>
        <w:t>existence d</w:t>
      </w:r>
      <w:r w:rsidR="004618D5" w:rsidRPr="004618D5">
        <w:rPr>
          <w:lang w:val="fr-FR"/>
        </w:rPr>
        <w:t>’</w:t>
      </w:r>
      <w:r w:rsidR="00C6471C" w:rsidRPr="004618D5">
        <w:rPr>
          <w:lang w:val="fr-FR"/>
        </w:rPr>
        <w:t>un</w:t>
      </w:r>
      <w:r w:rsidRPr="004618D5">
        <w:rPr>
          <w:lang w:val="fr-FR"/>
        </w:rPr>
        <w:t xml:space="preserve"> traitement </w:t>
      </w:r>
      <w:r w:rsidR="00B84571" w:rsidRPr="004618D5">
        <w:rPr>
          <w:lang w:val="fr-FR"/>
        </w:rPr>
        <w:t xml:space="preserve">comparable </w:t>
      </w:r>
      <w:r w:rsidRPr="004618D5">
        <w:rPr>
          <w:lang w:val="fr-FR"/>
        </w:rPr>
        <w:t>de situations sensiblement différentes</w:t>
      </w:r>
      <w:r w:rsidR="00C6471C" w:rsidRPr="004618D5">
        <w:rPr>
          <w:lang w:val="fr-FR"/>
        </w:rPr>
        <w:t xml:space="preserve">, il incombe au Gouvernement de démontrer que cette </w:t>
      </w:r>
      <w:r w:rsidRPr="004618D5">
        <w:rPr>
          <w:lang w:val="fr-FR"/>
        </w:rPr>
        <w:t>approche</w:t>
      </w:r>
      <w:r w:rsidR="007409E5" w:rsidRPr="004618D5">
        <w:rPr>
          <w:lang w:val="fr-FR"/>
        </w:rPr>
        <w:t xml:space="preserve"> était justifiée (</w:t>
      </w:r>
      <w:r w:rsidRPr="004618D5">
        <w:rPr>
          <w:lang w:val="fr-FR"/>
        </w:rPr>
        <w:t xml:space="preserve">voir, </w:t>
      </w:r>
      <w:r w:rsidRPr="004618D5">
        <w:rPr>
          <w:i/>
          <w:lang w:val="fr-FR"/>
        </w:rPr>
        <w:t>mutatis mutandis</w:t>
      </w:r>
      <w:r w:rsidRPr="004618D5">
        <w:rPr>
          <w:lang w:val="fr-FR"/>
        </w:rPr>
        <w:t>,</w:t>
      </w:r>
      <w:r w:rsidRPr="004618D5">
        <w:rPr>
          <w:i/>
          <w:lang w:val="fr-FR"/>
        </w:rPr>
        <w:t xml:space="preserve"> </w:t>
      </w:r>
      <w:r w:rsidR="007409E5" w:rsidRPr="004618D5">
        <w:rPr>
          <w:i/>
          <w:lang w:val="fr-FR"/>
        </w:rPr>
        <w:t>D.</w:t>
      </w:r>
      <w:r w:rsidR="00C6471C" w:rsidRPr="004618D5">
        <w:rPr>
          <w:i/>
          <w:lang w:val="fr-FR"/>
        </w:rPr>
        <w:t>H. et autres</w:t>
      </w:r>
      <w:r w:rsidR="00C6471C" w:rsidRPr="004618D5">
        <w:rPr>
          <w:lang w:val="fr-FR"/>
        </w:rPr>
        <w:t>, précité, §</w:t>
      </w:r>
      <w:r w:rsidR="00C17681" w:rsidRPr="004618D5">
        <w:rPr>
          <w:lang w:val="fr-FR"/>
        </w:rPr>
        <w:t> </w:t>
      </w:r>
      <w:r w:rsidR="00C6471C" w:rsidRPr="004618D5">
        <w:rPr>
          <w:lang w:val="fr-FR"/>
        </w:rPr>
        <w:t>177).</w:t>
      </w:r>
    </w:p>
    <w:p w:rsidR="00B26FC7" w:rsidRPr="004618D5" w:rsidRDefault="00D42149" w:rsidP="004618D5">
      <w:pPr>
        <w:pStyle w:val="ECHRHeading6"/>
        <w:rPr>
          <w:i w:val="0"/>
          <w:lang w:val="fr-FR"/>
        </w:rPr>
      </w:pPr>
      <w:r w:rsidRPr="004618D5">
        <w:rPr>
          <w:rFonts w:cstheme="majorHAnsi"/>
          <w:i w:val="0"/>
          <w:lang w:val="fr-FR"/>
        </w:rPr>
        <w:t>β</w:t>
      </w:r>
      <w:r w:rsidR="006A7614" w:rsidRPr="004618D5">
        <w:rPr>
          <w:rFonts w:cstheme="majorHAnsi"/>
          <w:i w:val="0"/>
          <w:lang w:val="fr-FR"/>
        </w:rPr>
        <w:t>) </w:t>
      </w:r>
      <w:r w:rsidRPr="004618D5">
        <w:rPr>
          <w:i w:val="0"/>
          <w:lang w:val="fr-FR"/>
        </w:rPr>
        <w:t> </w:t>
      </w:r>
      <w:r w:rsidR="00AE2113" w:rsidRPr="004618D5">
        <w:rPr>
          <w:i w:val="0"/>
          <w:lang w:val="fr-FR"/>
        </w:rPr>
        <w:t>Application de ces principes en l</w:t>
      </w:r>
      <w:r w:rsidR="004618D5" w:rsidRPr="004618D5">
        <w:rPr>
          <w:i w:val="0"/>
          <w:lang w:val="fr-FR"/>
        </w:rPr>
        <w:t>’</w:t>
      </w:r>
      <w:r w:rsidR="00AE2113" w:rsidRPr="004618D5">
        <w:rPr>
          <w:i w:val="0"/>
          <w:lang w:val="fr-FR"/>
        </w:rPr>
        <w:t>espèce</w:t>
      </w:r>
    </w:p>
    <w:p w:rsidR="0017185A" w:rsidRPr="004618D5" w:rsidRDefault="00C171DE"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91</w:t>
      </w:r>
      <w:r w:rsidRPr="004618D5">
        <w:rPr>
          <w:lang w:val="fr-FR"/>
        </w:rPr>
        <w:fldChar w:fldCharType="end"/>
      </w:r>
      <w:r w:rsidRPr="004618D5">
        <w:rPr>
          <w:lang w:val="fr-FR"/>
        </w:rPr>
        <w:t>.  </w:t>
      </w:r>
      <w:r w:rsidR="00BB33A5" w:rsidRPr="004618D5">
        <w:rPr>
          <w:lang w:val="fr-FR"/>
        </w:rPr>
        <w:t xml:space="preserve">La Cour </w:t>
      </w:r>
      <w:r w:rsidR="0017185A" w:rsidRPr="004618D5">
        <w:rPr>
          <w:lang w:val="fr-FR"/>
        </w:rPr>
        <w:t>doit donc d</w:t>
      </w:r>
      <w:r w:rsidR="004618D5" w:rsidRPr="004618D5">
        <w:rPr>
          <w:lang w:val="fr-FR"/>
        </w:rPr>
        <w:t>’</w:t>
      </w:r>
      <w:r w:rsidR="0017185A" w:rsidRPr="004618D5">
        <w:rPr>
          <w:lang w:val="fr-FR"/>
        </w:rPr>
        <w:t>abord déterminer si</w:t>
      </w:r>
      <w:r w:rsidR="005C1F34" w:rsidRPr="004618D5">
        <w:rPr>
          <w:lang w:val="fr-FR"/>
        </w:rPr>
        <w:t xml:space="preserve">, dans le cadre de la procédure </w:t>
      </w:r>
      <w:r w:rsidR="00AD3208" w:rsidRPr="004618D5">
        <w:rPr>
          <w:lang w:val="fr-FR"/>
        </w:rPr>
        <w:t>visant à l</w:t>
      </w:r>
      <w:r w:rsidR="004618D5" w:rsidRPr="004618D5">
        <w:rPr>
          <w:lang w:val="fr-FR"/>
        </w:rPr>
        <w:t>’</w:t>
      </w:r>
      <w:r w:rsidR="00AD3208" w:rsidRPr="004618D5">
        <w:rPr>
          <w:lang w:val="fr-FR"/>
        </w:rPr>
        <w:t xml:space="preserve">obtention </w:t>
      </w:r>
      <w:r w:rsidR="005C1F34" w:rsidRPr="004618D5">
        <w:rPr>
          <w:lang w:val="fr-FR"/>
        </w:rPr>
        <w:t xml:space="preserve">du permis de séjour </w:t>
      </w:r>
      <w:r w:rsidR="00A505F6" w:rsidRPr="004618D5">
        <w:rPr>
          <w:lang w:val="fr-FR"/>
        </w:rPr>
        <w:t>pour raison familiale</w:t>
      </w:r>
      <w:r w:rsidR="005C1F34" w:rsidRPr="004618D5">
        <w:rPr>
          <w:lang w:val="fr-FR"/>
        </w:rPr>
        <w:t>,</w:t>
      </w:r>
      <w:r w:rsidR="0017185A" w:rsidRPr="004618D5">
        <w:rPr>
          <w:lang w:val="fr-FR"/>
        </w:rPr>
        <w:t xml:space="preserve"> le fait de n</w:t>
      </w:r>
      <w:r w:rsidR="004618D5" w:rsidRPr="004618D5">
        <w:rPr>
          <w:lang w:val="fr-FR"/>
        </w:rPr>
        <w:t>’</w:t>
      </w:r>
      <w:r w:rsidR="0017185A" w:rsidRPr="004618D5">
        <w:rPr>
          <w:lang w:val="fr-FR"/>
        </w:rPr>
        <w:t xml:space="preserve">avoir pas traité les requérants différemment des couples hétérosexuels </w:t>
      </w:r>
      <w:r w:rsidR="009653E7" w:rsidRPr="004618D5">
        <w:rPr>
          <w:lang w:val="fr-FR"/>
        </w:rPr>
        <w:t>n</w:t>
      </w:r>
      <w:r w:rsidR="004618D5" w:rsidRPr="004618D5">
        <w:rPr>
          <w:lang w:val="fr-FR"/>
        </w:rPr>
        <w:t>’</w:t>
      </w:r>
      <w:r w:rsidR="009653E7" w:rsidRPr="004618D5">
        <w:rPr>
          <w:lang w:val="fr-FR"/>
        </w:rPr>
        <w:t>ayant pas régularisé leur situation</w:t>
      </w:r>
      <w:r w:rsidR="0017185A" w:rsidRPr="004618D5">
        <w:rPr>
          <w:lang w:val="fr-FR"/>
        </w:rPr>
        <w:t xml:space="preserve"> poursuivait un but légitime. Dans l</w:t>
      </w:r>
      <w:r w:rsidR="004618D5" w:rsidRPr="004618D5">
        <w:rPr>
          <w:lang w:val="fr-FR"/>
        </w:rPr>
        <w:t>’</w:t>
      </w:r>
      <w:r w:rsidR="0017185A" w:rsidRPr="004618D5">
        <w:rPr>
          <w:lang w:val="fr-FR"/>
        </w:rPr>
        <w:t>affirmative, elle vérifiera s</w:t>
      </w:r>
      <w:r w:rsidR="004618D5" w:rsidRPr="004618D5">
        <w:rPr>
          <w:lang w:val="fr-FR"/>
        </w:rPr>
        <w:t>’</w:t>
      </w:r>
      <w:r w:rsidR="0017185A" w:rsidRPr="004618D5">
        <w:rPr>
          <w:lang w:val="fr-FR"/>
        </w:rPr>
        <w:t xml:space="preserve">il existait un rapport raisonnable de proportionnalité entre les moyens employés et le but recherché (voir, </w:t>
      </w:r>
      <w:r w:rsidR="0017185A" w:rsidRPr="004618D5">
        <w:rPr>
          <w:i/>
          <w:lang w:val="fr-FR"/>
        </w:rPr>
        <w:t>mutatis mutandis</w:t>
      </w:r>
      <w:r w:rsidR="0017185A" w:rsidRPr="004618D5">
        <w:rPr>
          <w:lang w:val="fr-FR"/>
        </w:rPr>
        <w:t>,</w:t>
      </w:r>
      <w:r w:rsidR="0017185A" w:rsidRPr="004618D5">
        <w:rPr>
          <w:i/>
          <w:lang w:val="fr-FR"/>
        </w:rPr>
        <w:t xml:space="preserve"> Thlimmenos</w:t>
      </w:r>
      <w:r w:rsidR="0017185A" w:rsidRPr="004618D5">
        <w:rPr>
          <w:lang w:val="fr-FR"/>
        </w:rPr>
        <w:t>, précité, §</w:t>
      </w:r>
      <w:r w:rsidR="00F87586" w:rsidRPr="004618D5">
        <w:rPr>
          <w:lang w:val="fr-FR"/>
        </w:rPr>
        <w:t> </w:t>
      </w:r>
      <w:r w:rsidR="0017185A" w:rsidRPr="004618D5">
        <w:rPr>
          <w:lang w:val="fr-FR"/>
        </w:rPr>
        <w:t>46).</w:t>
      </w:r>
    </w:p>
    <w:p w:rsidR="00244C06" w:rsidRPr="004618D5" w:rsidRDefault="0017185A"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92</w:t>
      </w:r>
      <w:r w:rsidRPr="004618D5">
        <w:rPr>
          <w:lang w:val="fr-FR"/>
        </w:rPr>
        <w:fldChar w:fldCharType="end"/>
      </w:r>
      <w:r w:rsidRPr="004618D5">
        <w:rPr>
          <w:lang w:val="fr-FR"/>
        </w:rPr>
        <w:t xml:space="preserve">.  La Cour </w:t>
      </w:r>
      <w:r w:rsidR="00BB33A5" w:rsidRPr="004618D5">
        <w:rPr>
          <w:lang w:val="fr-FR"/>
        </w:rPr>
        <w:t>observe que</w:t>
      </w:r>
      <w:r w:rsidR="00A505F6" w:rsidRPr="004618D5">
        <w:rPr>
          <w:lang w:val="fr-FR"/>
        </w:rPr>
        <w:t>,</w:t>
      </w:r>
      <w:r w:rsidR="00BB33A5" w:rsidRPr="004618D5">
        <w:rPr>
          <w:lang w:val="fr-FR"/>
        </w:rPr>
        <w:t xml:space="preserve"> pour justifier le traitement </w:t>
      </w:r>
      <w:r w:rsidR="00B84571" w:rsidRPr="004618D5">
        <w:rPr>
          <w:lang w:val="fr-FR"/>
        </w:rPr>
        <w:t xml:space="preserve">analogue </w:t>
      </w:r>
      <w:r w:rsidR="00BB33A5" w:rsidRPr="004618D5">
        <w:rPr>
          <w:lang w:val="fr-FR"/>
        </w:rPr>
        <w:t>des couples homosexuels et hétérosexuels non mariés</w:t>
      </w:r>
      <w:r w:rsidR="00A505F6" w:rsidRPr="004618D5">
        <w:rPr>
          <w:lang w:val="fr-FR"/>
        </w:rPr>
        <w:t xml:space="preserve"> en matière d</w:t>
      </w:r>
      <w:r w:rsidR="004618D5" w:rsidRPr="004618D5">
        <w:rPr>
          <w:lang w:val="fr-FR"/>
        </w:rPr>
        <w:t>’</w:t>
      </w:r>
      <w:r w:rsidR="00A505F6" w:rsidRPr="004618D5">
        <w:rPr>
          <w:lang w:val="fr-FR"/>
        </w:rPr>
        <w:t>octroi du permis de séjour pour raison familiale,</w:t>
      </w:r>
      <w:r w:rsidR="00BB33A5" w:rsidRPr="004618D5">
        <w:rPr>
          <w:lang w:val="fr-FR"/>
        </w:rPr>
        <w:t xml:space="preserve"> le Gouvernement invoqu</w:t>
      </w:r>
      <w:r w:rsidR="00244C06" w:rsidRPr="004618D5">
        <w:rPr>
          <w:lang w:val="fr-FR"/>
        </w:rPr>
        <w:t>e</w:t>
      </w:r>
      <w:r w:rsidR="00BB33A5" w:rsidRPr="004618D5">
        <w:rPr>
          <w:lang w:val="fr-FR"/>
        </w:rPr>
        <w:t>, en substance, la marge d</w:t>
      </w:r>
      <w:r w:rsidR="004618D5" w:rsidRPr="004618D5">
        <w:rPr>
          <w:lang w:val="fr-FR"/>
        </w:rPr>
        <w:t>’</w:t>
      </w:r>
      <w:r w:rsidR="00BB33A5" w:rsidRPr="004618D5">
        <w:rPr>
          <w:lang w:val="fr-FR"/>
        </w:rPr>
        <w:t xml:space="preserve">appréciation dont jouissent les États pour protéger la famille traditionnelle et pour décider si les couples homosexuels doivent avoir accès à des unions civiles ou </w:t>
      </w:r>
      <w:r w:rsidR="00E77E51" w:rsidRPr="004618D5">
        <w:rPr>
          <w:lang w:val="fr-FR"/>
        </w:rPr>
        <w:t xml:space="preserve">à des </w:t>
      </w:r>
      <w:r w:rsidR="00BB33A5" w:rsidRPr="004618D5">
        <w:rPr>
          <w:lang w:val="fr-FR"/>
        </w:rPr>
        <w:t>partenariats enregistrés</w:t>
      </w:r>
      <w:r w:rsidR="00244C06" w:rsidRPr="004618D5">
        <w:rPr>
          <w:lang w:val="fr-FR"/>
        </w:rPr>
        <w:t>, ainsi que pour déterminer</w:t>
      </w:r>
      <w:r w:rsidR="00BB33A5" w:rsidRPr="004618D5">
        <w:rPr>
          <w:lang w:val="fr-FR"/>
        </w:rPr>
        <w:t xml:space="preserve"> la nature exacte du statut conféré (paragraphes </w:t>
      </w:r>
      <w:r w:rsidR="003C71B5" w:rsidRPr="004618D5">
        <w:rPr>
          <w:lang w:val="fr-FR"/>
        </w:rPr>
        <w:t>43</w:t>
      </w:r>
      <w:r w:rsidR="00244C06" w:rsidRPr="004618D5">
        <w:rPr>
          <w:lang w:val="fr-FR"/>
        </w:rPr>
        <w:t xml:space="preserve">, </w:t>
      </w:r>
      <w:r w:rsidR="003C71B5" w:rsidRPr="004618D5">
        <w:rPr>
          <w:lang w:val="fr-FR"/>
        </w:rPr>
        <w:t>45</w:t>
      </w:r>
      <w:r w:rsidR="00244C06" w:rsidRPr="004618D5">
        <w:rPr>
          <w:lang w:val="fr-FR"/>
        </w:rPr>
        <w:t xml:space="preserve">, </w:t>
      </w:r>
      <w:r w:rsidR="003C71B5" w:rsidRPr="004618D5">
        <w:rPr>
          <w:lang w:val="fr-FR" w:eastAsia="en-GB"/>
        </w:rPr>
        <w:t>46</w:t>
      </w:r>
      <w:r w:rsidR="00244C06" w:rsidRPr="004618D5">
        <w:rPr>
          <w:lang w:val="fr-FR"/>
        </w:rPr>
        <w:t xml:space="preserve">, </w:t>
      </w:r>
      <w:r w:rsidR="003C71B5" w:rsidRPr="004618D5">
        <w:rPr>
          <w:rFonts w:ascii="Times New Roman" w:hAnsi="Times New Roman" w:cs="Times New Roman"/>
          <w:szCs w:val="24"/>
          <w:lang w:val="fr-FR" w:eastAsia="en-GB"/>
        </w:rPr>
        <w:t>47</w:t>
      </w:r>
      <w:r w:rsidR="00945B3E" w:rsidRPr="004618D5">
        <w:rPr>
          <w:lang w:val="fr-FR"/>
        </w:rPr>
        <w:t xml:space="preserve"> et</w:t>
      </w:r>
      <w:r w:rsidR="00244C06" w:rsidRPr="004618D5">
        <w:rPr>
          <w:lang w:val="fr-FR"/>
        </w:rPr>
        <w:t xml:space="preserve"> </w:t>
      </w:r>
      <w:r w:rsidR="003C71B5" w:rsidRPr="004618D5">
        <w:rPr>
          <w:rFonts w:ascii="Times New Roman" w:hAnsi="Times New Roman" w:cs="Times New Roman"/>
          <w:szCs w:val="24"/>
          <w:lang w:val="fr-FR" w:eastAsia="en-GB"/>
        </w:rPr>
        <w:t>65</w:t>
      </w:r>
      <w:r w:rsidR="00BB33A5" w:rsidRPr="004618D5">
        <w:rPr>
          <w:lang w:val="fr-FR"/>
        </w:rPr>
        <w:t xml:space="preserve"> ci-dessus).</w:t>
      </w:r>
    </w:p>
    <w:p w:rsidR="00A43422" w:rsidRPr="004618D5" w:rsidRDefault="00244C06" w:rsidP="004618D5">
      <w:pPr>
        <w:pStyle w:val="ECHRPara"/>
        <w:rPr>
          <w:lang w:val="fr-FR"/>
        </w:rPr>
      </w:pPr>
      <w:r w:rsidRPr="004618D5">
        <w:rPr>
          <w:lang w:val="fr-FR"/>
        </w:rPr>
        <w:lastRenderedPageBreak/>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93</w:t>
      </w:r>
      <w:r w:rsidRPr="004618D5">
        <w:rPr>
          <w:lang w:val="fr-FR"/>
        </w:rPr>
        <w:fldChar w:fldCharType="end"/>
      </w:r>
      <w:r w:rsidRPr="004618D5">
        <w:rPr>
          <w:lang w:val="fr-FR"/>
        </w:rPr>
        <w:t>.  </w:t>
      </w:r>
      <w:r w:rsidR="005C1F34" w:rsidRPr="004618D5">
        <w:rPr>
          <w:lang w:val="fr-FR"/>
        </w:rPr>
        <w:t xml:space="preserve">Bien que la protection de </w:t>
      </w:r>
      <w:r w:rsidR="001D6F2C" w:rsidRPr="004618D5">
        <w:rPr>
          <w:lang w:val="fr-FR"/>
        </w:rPr>
        <w:t xml:space="preserve">la </w:t>
      </w:r>
      <w:r w:rsidR="005C1F34" w:rsidRPr="004618D5">
        <w:rPr>
          <w:lang w:val="fr-FR"/>
        </w:rPr>
        <w:t>famille traditionnelle puisse, dans certaines circonstances, constituer un but légitime au regard de l</w:t>
      </w:r>
      <w:r w:rsidR="004618D5" w:rsidRPr="004618D5">
        <w:rPr>
          <w:lang w:val="fr-FR"/>
        </w:rPr>
        <w:t>’</w:t>
      </w:r>
      <w:r w:rsidR="005C1F34" w:rsidRPr="004618D5">
        <w:rPr>
          <w:lang w:val="fr-FR"/>
        </w:rPr>
        <w:t>article</w:t>
      </w:r>
      <w:r w:rsidR="00C73936" w:rsidRPr="004618D5">
        <w:rPr>
          <w:lang w:val="fr-FR"/>
        </w:rPr>
        <w:t> </w:t>
      </w:r>
      <w:r w:rsidR="005C1F34" w:rsidRPr="004618D5">
        <w:rPr>
          <w:lang w:val="fr-FR"/>
        </w:rPr>
        <w:t>14, l</w:t>
      </w:r>
      <w:r w:rsidRPr="004618D5">
        <w:rPr>
          <w:lang w:val="fr-FR"/>
        </w:rPr>
        <w:t xml:space="preserve">a Cour </w:t>
      </w:r>
      <w:r w:rsidR="005C1F34" w:rsidRPr="004618D5">
        <w:rPr>
          <w:lang w:val="fr-FR"/>
        </w:rPr>
        <w:t>considère que</w:t>
      </w:r>
      <w:r w:rsidR="00A505F6" w:rsidRPr="004618D5">
        <w:rPr>
          <w:lang w:val="fr-FR"/>
        </w:rPr>
        <w:t>,</w:t>
      </w:r>
      <w:r w:rsidR="005C1F34" w:rsidRPr="004618D5">
        <w:rPr>
          <w:lang w:val="fr-FR"/>
        </w:rPr>
        <w:t xml:space="preserve"> dans le domaine concerné, à savoir</w:t>
      </w:r>
      <w:r w:rsidRPr="004618D5">
        <w:rPr>
          <w:lang w:val="fr-FR"/>
        </w:rPr>
        <w:t xml:space="preserve"> l</w:t>
      </w:r>
      <w:r w:rsidR="004618D5" w:rsidRPr="004618D5">
        <w:rPr>
          <w:lang w:val="fr-FR"/>
        </w:rPr>
        <w:t>’</w:t>
      </w:r>
      <w:r w:rsidRPr="004618D5">
        <w:rPr>
          <w:lang w:val="fr-FR"/>
        </w:rPr>
        <w:t>octroi d</w:t>
      </w:r>
      <w:r w:rsidR="004618D5" w:rsidRPr="004618D5">
        <w:rPr>
          <w:lang w:val="fr-FR"/>
        </w:rPr>
        <w:t>’</w:t>
      </w:r>
      <w:r w:rsidRPr="004618D5">
        <w:rPr>
          <w:lang w:val="fr-FR"/>
        </w:rPr>
        <w:t xml:space="preserve">un permis de séjour </w:t>
      </w:r>
      <w:r w:rsidR="00A505F6" w:rsidRPr="004618D5">
        <w:rPr>
          <w:lang w:val="fr-FR"/>
        </w:rPr>
        <w:t>pour raison familiale</w:t>
      </w:r>
      <w:r w:rsidRPr="004618D5">
        <w:rPr>
          <w:lang w:val="fr-FR"/>
        </w:rPr>
        <w:t xml:space="preserve"> à un partenaire étranger homosexuel</w:t>
      </w:r>
      <w:r w:rsidR="005C1F34" w:rsidRPr="004618D5">
        <w:rPr>
          <w:lang w:val="fr-FR"/>
        </w:rPr>
        <w:t xml:space="preserve">, </w:t>
      </w:r>
      <w:r w:rsidRPr="004618D5">
        <w:rPr>
          <w:lang w:val="fr-FR"/>
        </w:rPr>
        <w:t xml:space="preserve">elle ne saurait constituer une raison « particulièrement </w:t>
      </w:r>
      <w:r w:rsidR="00D62ADB" w:rsidRPr="004618D5">
        <w:rPr>
          <w:lang w:val="fr-FR"/>
        </w:rPr>
        <w:t xml:space="preserve">solide </w:t>
      </w:r>
      <w:r w:rsidRPr="004618D5">
        <w:rPr>
          <w:lang w:val="fr-FR"/>
        </w:rPr>
        <w:t>et convaincante » de nature à justifier, dans les circonstances de l</w:t>
      </w:r>
      <w:r w:rsidR="004618D5" w:rsidRPr="004618D5">
        <w:rPr>
          <w:lang w:val="fr-FR"/>
        </w:rPr>
        <w:t>’</w:t>
      </w:r>
      <w:r w:rsidRPr="004618D5">
        <w:rPr>
          <w:lang w:val="fr-FR"/>
        </w:rPr>
        <w:t xml:space="preserve">espèce, une discrimination </w:t>
      </w:r>
      <w:r w:rsidR="00AD3208" w:rsidRPr="004618D5">
        <w:rPr>
          <w:lang w:val="fr-FR"/>
        </w:rPr>
        <w:t xml:space="preserve">fondée </w:t>
      </w:r>
      <w:r w:rsidRPr="004618D5">
        <w:rPr>
          <w:lang w:val="fr-FR"/>
        </w:rPr>
        <w:t>sur l</w:t>
      </w:r>
      <w:r w:rsidR="004618D5" w:rsidRPr="004618D5">
        <w:rPr>
          <w:lang w:val="fr-FR"/>
        </w:rPr>
        <w:t>’</w:t>
      </w:r>
      <w:r w:rsidRPr="004618D5">
        <w:rPr>
          <w:lang w:val="fr-FR"/>
        </w:rPr>
        <w:t>orientation sexuelle</w:t>
      </w:r>
      <w:r w:rsidR="00D62ADB" w:rsidRPr="004618D5">
        <w:rPr>
          <w:lang w:val="fr-FR"/>
        </w:rPr>
        <w:t xml:space="preserve"> (voir, </w:t>
      </w:r>
      <w:r w:rsidR="00D62ADB" w:rsidRPr="004618D5">
        <w:rPr>
          <w:i/>
          <w:lang w:val="fr-FR"/>
        </w:rPr>
        <w:t>mutatis mutandis</w:t>
      </w:r>
      <w:r w:rsidR="00D62ADB" w:rsidRPr="004618D5">
        <w:rPr>
          <w:lang w:val="fr-FR"/>
        </w:rPr>
        <w:t xml:space="preserve">, </w:t>
      </w:r>
      <w:r w:rsidR="00D62ADB" w:rsidRPr="004618D5">
        <w:rPr>
          <w:i/>
          <w:lang w:val="fr-FR"/>
        </w:rPr>
        <w:t>Vallianatos et autres</w:t>
      </w:r>
      <w:r w:rsidR="00D62ADB" w:rsidRPr="004618D5">
        <w:rPr>
          <w:lang w:val="fr-FR"/>
        </w:rPr>
        <w:t>, précité, § 92).</w:t>
      </w:r>
    </w:p>
    <w:p w:rsidR="00BB33A5" w:rsidRPr="004618D5" w:rsidRDefault="006767E2" w:rsidP="004618D5">
      <w:pPr>
        <w:pStyle w:val="ECHRPara"/>
        <w:rPr>
          <w:lang w:val="fr-FR"/>
        </w:rPr>
      </w:pPr>
      <w:r w:rsidRPr="004618D5">
        <w:rPr>
          <w:bCs/>
          <w:lang w:val="fr-FR"/>
        </w:rPr>
        <w:fldChar w:fldCharType="begin"/>
      </w:r>
      <w:r w:rsidRPr="004618D5">
        <w:rPr>
          <w:bCs/>
          <w:lang w:val="fr-FR"/>
        </w:rPr>
        <w:instrText xml:space="preserve"> SEQ level0 \*arabic </w:instrText>
      </w:r>
      <w:r w:rsidRPr="004618D5">
        <w:rPr>
          <w:bCs/>
          <w:lang w:val="fr-FR"/>
        </w:rPr>
        <w:fldChar w:fldCharType="separate"/>
      </w:r>
      <w:r w:rsidR="004618D5" w:rsidRPr="004618D5">
        <w:rPr>
          <w:bCs/>
          <w:noProof/>
          <w:lang w:val="fr-FR"/>
        </w:rPr>
        <w:t>94</w:t>
      </w:r>
      <w:r w:rsidRPr="004618D5">
        <w:rPr>
          <w:bCs/>
          <w:lang w:val="fr-FR"/>
        </w:rPr>
        <w:fldChar w:fldCharType="end"/>
      </w:r>
      <w:r w:rsidRPr="004618D5">
        <w:rPr>
          <w:bCs/>
          <w:lang w:val="fr-FR"/>
        </w:rPr>
        <w:t>.  </w:t>
      </w:r>
      <w:r w:rsidR="00A43422" w:rsidRPr="004618D5">
        <w:rPr>
          <w:bCs/>
          <w:lang w:val="fr-FR"/>
        </w:rPr>
        <w:t>La Cour souligne qu</w:t>
      </w:r>
      <w:r w:rsidR="004618D5" w:rsidRPr="004618D5">
        <w:rPr>
          <w:bCs/>
          <w:lang w:val="fr-FR"/>
        </w:rPr>
        <w:t>’</w:t>
      </w:r>
      <w:r w:rsidR="00A43422" w:rsidRPr="004618D5">
        <w:rPr>
          <w:bCs/>
          <w:lang w:val="fr-FR"/>
        </w:rPr>
        <w:t>en l</w:t>
      </w:r>
      <w:r w:rsidR="004618D5" w:rsidRPr="004618D5">
        <w:rPr>
          <w:bCs/>
          <w:lang w:val="fr-FR"/>
        </w:rPr>
        <w:t>’</w:t>
      </w:r>
      <w:r w:rsidR="00A43422" w:rsidRPr="004618D5">
        <w:rPr>
          <w:bCs/>
          <w:lang w:val="fr-FR"/>
        </w:rPr>
        <w:t>espèce</w:t>
      </w:r>
      <w:r w:rsidR="00B130B6" w:rsidRPr="004618D5">
        <w:rPr>
          <w:bCs/>
          <w:lang w:val="fr-FR"/>
        </w:rPr>
        <w:t>,</w:t>
      </w:r>
      <w:r w:rsidR="00A43422" w:rsidRPr="004618D5">
        <w:rPr>
          <w:bCs/>
          <w:lang w:val="fr-FR"/>
        </w:rPr>
        <w:t xml:space="preserve"> e</w:t>
      </w:r>
      <w:r w:rsidR="00B130B6" w:rsidRPr="004618D5">
        <w:rPr>
          <w:bCs/>
          <w:lang w:val="fr-FR"/>
        </w:rPr>
        <w:t>lle</w:t>
      </w:r>
      <w:r w:rsidR="00A43422" w:rsidRPr="004618D5">
        <w:rPr>
          <w:bCs/>
          <w:lang w:val="fr-FR"/>
        </w:rPr>
        <w:t xml:space="preserve"> n</w:t>
      </w:r>
      <w:r w:rsidR="004618D5" w:rsidRPr="004618D5">
        <w:rPr>
          <w:bCs/>
          <w:lang w:val="fr-FR"/>
        </w:rPr>
        <w:t>’</w:t>
      </w:r>
      <w:r w:rsidR="00A43422" w:rsidRPr="004618D5">
        <w:rPr>
          <w:bCs/>
          <w:lang w:val="fr-FR"/>
        </w:rPr>
        <w:t xml:space="preserve">est pas </w:t>
      </w:r>
      <w:r w:rsidR="00CD596B" w:rsidRPr="004618D5">
        <w:rPr>
          <w:bCs/>
          <w:lang w:val="fr-FR"/>
        </w:rPr>
        <w:t>appelée</w:t>
      </w:r>
      <w:r w:rsidR="00A43422" w:rsidRPr="004618D5">
        <w:rPr>
          <w:bCs/>
          <w:lang w:val="fr-FR"/>
        </w:rPr>
        <w:t xml:space="preserve"> </w:t>
      </w:r>
      <w:r w:rsidRPr="004618D5">
        <w:rPr>
          <w:bCs/>
          <w:lang w:val="fr-FR"/>
        </w:rPr>
        <w:t xml:space="preserve">à examiner </w:t>
      </w:r>
      <w:r w:rsidRPr="004618D5">
        <w:rPr>
          <w:bCs/>
          <w:i/>
          <w:lang w:val="fr-FR"/>
        </w:rPr>
        <w:t xml:space="preserve">in abstracto </w:t>
      </w:r>
      <w:r w:rsidRPr="004618D5">
        <w:rPr>
          <w:bCs/>
          <w:lang w:val="fr-FR"/>
        </w:rPr>
        <w:t>la question de savoir si l</w:t>
      </w:r>
      <w:r w:rsidR="004618D5" w:rsidRPr="004618D5">
        <w:rPr>
          <w:bCs/>
          <w:lang w:val="fr-FR"/>
        </w:rPr>
        <w:t>’</w:t>
      </w:r>
      <w:r w:rsidRPr="004618D5">
        <w:rPr>
          <w:bCs/>
          <w:lang w:val="fr-FR"/>
        </w:rPr>
        <w:t>État italien était obligé de prévoir, pour les couple</w:t>
      </w:r>
      <w:r w:rsidR="00B130B6" w:rsidRPr="004618D5">
        <w:rPr>
          <w:bCs/>
          <w:lang w:val="fr-FR"/>
        </w:rPr>
        <w:t>s</w:t>
      </w:r>
      <w:r w:rsidRPr="004618D5">
        <w:rPr>
          <w:bCs/>
          <w:lang w:val="fr-FR"/>
        </w:rPr>
        <w:t xml:space="preserve"> du même sexe, une forme de reconnaissance légale au moment où le deuxième requérant s</w:t>
      </w:r>
      <w:r w:rsidR="004618D5" w:rsidRPr="004618D5">
        <w:rPr>
          <w:bCs/>
          <w:lang w:val="fr-FR"/>
        </w:rPr>
        <w:t>’</w:t>
      </w:r>
      <w:r w:rsidRPr="004618D5">
        <w:rPr>
          <w:bCs/>
          <w:lang w:val="fr-FR"/>
        </w:rPr>
        <w:t xml:space="preserve">est vu refuser </w:t>
      </w:r>
      <w:r w:rsidR="00B130B6" w:rsidRPr="004618D5">
        <w:rPr>
          <w:bCs/>
          <w:lang w:val="fr-FR"/>
        </w:rPr>
        <w:t>le</w:t>
      </w:r>
      <w:r w:rsidRPr="004618D5">
        <w:rPr>
          <w:bCs/>
          <w:lang w:val="fr-FR"/>
        </w:rPr>
        <w:t xml:space="preserve"> permis de séjour par le chef de la police de Livourne (18 octobre 2004) ou</w:t>
      </w:r>
      <w:r w:rsidR="00A43422" w:rsidRPr="004618D5">
        <w:rPr>
          <w:bCs/>
          <w:lang w:val="fr-FR"/>
        </w:rPr>
        <w:t xml:space="preserve"> </w:t>
      </w:r>
      <w:r w:rsidRPr="004618D5">
        <w:rPr>
          <w:bCs/>
          <w:lang w:val="fr-FR"/>
        </w:rPr>
        <w:t>bien lorsque cette décision a été confirmée dans le cadre de la procédure judiciaire successive, clôturée par l</w:t>
      </w:r>
      <w:r w:rsidR="004618D5" w:rsidRPr="004618D5">
        <w:rPr>
          <w:bCs/>
          <w:lang w:val="fr-FR"/>
        </w:rPr>
        <w:t>’</w:t>
      </w:r>
      <w:r w:rsidRPr="004618D5">
        <w:rPr>
          <w:bCs/>
          <w:lang w:val="fr-FR"/>
        </w:rPr>
        <w:t>arrêt de la Cour de cassation</w:t>
      </w:r>
      <w:r w:rsidR="00B130B6" w:rsidRPr="004618D5">
        <w:rPr>
          <w:bCs/>
          <w:lang w:val="fr-FR"/>
        </w:rPr>
        <w:t>,</w:t>
      </w:r>
      <w:r w:rsidRPr="004618D5">
        <w:rPr>
          <w:bCs/>
          <w:lang w:val="fr-FR"/>
        </w:rPr>
        <w:t xml:space="preserve"> déposé au greffe le 17 mars 2009</w:t>
      </w:r>
      <w:r w:rsidR="00A43422" w:rsidRPr="004618D5">
        <w:rPr>
          <w:bCs/>
          <w:lang w:val="fr-FR"/>
        </w:rPr>
        <w:t xml:space="preserve"> (</w:t>
      </w:r>
      <w:r w:rsidRPr="004618D5">
        <w:rPr>
          <w:bCs/>
          <w:lang w:val="fr-FR"/>
        </w:rPr>
        <w:t>voir</w:t>
      </w:r>
      <w:r w:rsidR="00A43422" w:rsidRPr="004618D5">
        <w:rPr>
          <w:bCs/>
          <w:lang w:val="fr-FR"/>
        </w:rPr>
        <w:t xml:space="preserve">, </w:t>
      </w:r>
      <w:r w:rsidR="00A43422" w:rsidRPr="004618D5">
        <w:rPr>
          <w:bCs/>
          <w:i/>
          <w:iCs/>
          <w:lang w:val="fr-FR"/>
        </w:rPr>
        <w:t>mutatis mutandis</w:t>
      </w:r>
      <w:r w:rsidR="00A43422" w:rsidRPr="004618D5">
        <w:rPr>
          <w:bCs/>
          <w:lang w:val="fr-FR"/>
        </w:rPr>
        <w:t xml:space="preserve">, </w:t>
      </w:r>
      <w:r w:rsidR="00A43422" w:rsidRPr="004618D5">
        <w:rPr>
          <w:bCs/>
          <w:i/>
          <w:iCs/>
          <w:lang w:val="fr-FR"/>
        </w:rPr>
        <w:t xml:space="preserve">Vallianatos </w:t>
      </w:r>
      <w:r w:rsidRPr="004618D5">
        <w:rPr>
          <w:bCs/>
          <w:i/>
          <w:iCs/>
          <w:lang w:val="fr-FR"/>
        </w:rPr>
        <w:t>et autres</w:t>
      </w:r>
      <w:r w:rsidR="00A43422" w:rsidRPr="004618D5">
        <w:rPr>
          <w:bCs/>
          <w:lang w:val="fr-FR"/>
        </w:rPr>
        <w:t xml:space="preserve">, </w:t>
      </w:r>
      <w:r w:rsidRPr="004618D5">
        <w:rPr>
          <w:bCs/>
          <w:lang w:val="fr-FR"/>
        </w:rPr>
        <w:t>précité</w:t>
      </w:r>
      <w:r w:rsidR="00A43422" w:rsidRPr="004618D5">
        <w:rPr>
          <w:bCs/>
          <w:lang w:val="fr-FR"/>
        </w:rPr>
        <w:t xml:space="preserve">, § 78). </w:t>
      </w:r>
      <w:r w:rsidRPr="004618D5">
        <w:rPr>
          <w:bCs/>
          <w:lang w:val="fr-FR"/>
        </w:rPr>
        <w:t xml:space="preserve">Eu égard </w:t>
      </w:r>
      <w:r w:rsidR="00CD596B" w:rsidRPr="004618D5">
        <w:rPr>
          <w:bCs/>
          <w:lang w:val="fr-FR"/>
        </w:rPr>
        <w:t>à la manière où le</w:t>
      </w:r>
      <w:r w:rsidRPr="004618D5">
        <w:rPr>
          <w:bCs/>
          <w:lang w:val="fr-FR"/>
        </w:rPr>
        <w:t xml:space="preserve"> grief des requérants</w:t>
      </w:r>
      <w:r w:rsidR="00CD596B" w:rsidRPr="004618D5">
        <w:rPr>
          <w:bCs/>
          <w:lang w:val="fr-FR"/>
        </w:rPr>
        <w:t xml:space="preserve"> a été formulé</w:t>
      </w:r>
      <w:r w:rsidRPr="004618D5">
        <w:rPr>
          <w:bCs/>
          <w:lang w:val="fr-FR"/>
        </w:rPr>
        <w:t xml:space="preserve">, la Cour </w:t>
      </w:r>
      <w:r w:rsidR="00CD596B" w:rsidRPr="004618D5">
        <w:rPr>
          <w:bCs/>
          <w:lang w:val="fr-FR"/>
        </w:rPr>
        <w:t>se limitera</w:t>
      </w:r>
      <w:r w:rsidRPr="004618D5">
        <w:rPr>
          <w:bCs/>
          <w:lang w:val="fr-FR"/>
        </w:rPr>
        <w:t xml:space="preserve"> </w:t>
      </w:r>
      <w:r w:rsidR="00CD596B" w:rsidRPr="004618D5">
        <w:rPr>
          <w:bCs/>
          <w:lang w:val="fr-FR"/>
        </w:rPr>
        <w:t>à évaluer</w:t>
      </w:r>
      <w:r w:rsidRPr="004618D5">
        <w:rPr>
          <w:bCs/>
          <w:lang w:val="fr-FR"/>
        </w:rPr>
        <w:t xml:space="preserve"> si, dans le context</w:t>
      </w:r>
      <w:r w:rsidR="004D0D62" w:rsidRPr="004618D5">
        <w:rPr>
          <w:bCs/>
          <w:lang w:val="fr-FR"/>
        </w:rPr>
        <w:t>e</w:t>
      </w:r>
      <w:r w:rsidRPr="004618D5">
        <w:rPr>
          <w:bCs/>
          <w:lang w:val="fr-FR"/>
        </w:rPr>
        <w:t xml:space="preserve"> spécifique du refus d</w:t>
      </w:r>
      <w:r w:rsidR="004618D5" w:rsidRPr="004618D5">
        <w:rPr>
          <w:bCs/>
          <w:lang w:val="fr-FR"/>
        </w:rPr>
        <w:t>’</w:t>
      </w:r>
      <w:r w:rsidRPr="004618D5">
        <w:rPr>
          <w:bCs/>
          <w:lang w:val="fr-FR"/>
        </w:rPr>
        <w:t xml:space="preserve">octroyer un permis de séjour au deuxième requérant, les </w:t>
      </w:r>
      <w:r w:rsidR="004D0D62" w:rsidRPr="004618D5">
        <w:rPr>
          <w:bCs/>
          <w:lang w:val="fr-FR"/>
        </w:rPr>
        <w:t>décisions</w:t>
      </w:r>
      <w:r w:rsidRPr="004618D5">
        <w:rPr>
          <w:bCs/>
          <w:lang w:val="fr-FR"/>
        </w:rPr>
        <w:t xml:space="preserve"> des autorités italiennes étaient basées sur une justification objective et raisonnable, </w:t>
      </w:r>
      <w:r w:rsidR="004D0D62" w:rsidRPr="004618D5">
        <w:rPr>
          <w:bCs/>
          <w:lang w:val="fr-FR"/>
        </w:rPr>
        <w:t>compte tenu du fait que l</w:t>
      </w:r>
      <w:r w:rsidR="004618D5" w:rsidRPr="004618D5">
        <w:rPr>
          <w:bCs/>
          <w:lang w:val="fr-FR"/>
        </w:rPr>
        <w:t>’</w:t>
      </w:r>
      <w:r w:rsidR="004D0D62" w:rsidRPr="004618D5">
        <w:rPr>
          <w:bCs/>
          <w:lang w:val="fr-FR"/>
        </w:rPr>
        <w:t>application des dispositions du décret législatif n</w:t>
      </w:r>
      <w:r w:rsidR="00B55B33" w:rsidRPr="004618D5">
        <w:rPr>
          <w:bCs/>
          <w:vertAlign w:val="superscript"/>
          <w:lang w:val="fr-FR"/>
        </w:rPr>
        <w:t>o</w:t>
      </w:r>
      <w:r w:rsidR="004D0D62" w:rsidRPr="004618D5">
        <w:rPr>
          <w:bCs/>
          <w:lang w:val="fr-FR"/>
        </w:rPr>
        <w:t xml:space="preserve"> 286 de 1998 a </w:t>
      </w:r>
      <w:r w:rsidR="00B130B6" w:rsidRPr="004618D5">
        <w:rPr>
          <w:bCs/>
          <w:lang w:val="fr-FR"/>
        </w:rPr>
        <w:t>empêché</w:t>
      </w:r>
      <w:r w:rsidR="004D0D62" w:rsidRPr="004618D5">
        <w:rPr>
          <w:bCs/>
          <w:lang w:val="fr-FR"/>
        </w:rPr>
        <w:t xml:space="preserve"> les requérants de poursuivre leur vie familiale commune et leur relation stable et sérieuse en Italie</w:t>
      </w:r>
      <w:r w:rsidR="00A43422" w:rsidRPr="004618D5">
        <w:rPr>
          <w:bCs/>
          <w:lang w:val="fr-FR"/>
        </w:rPr>
        <w:t>.</w:t>
      </w:r>
      <w:r w:rsidR="004D0D62" w:rsidRPr="004618D5">
        <w:rPr>
          <w:bCs/>
          <w:lang w:val="fr-FR"/>
        </w:rPr>
        <w:t xml:space="preserve"> Il est vrai que la loi italienne ne traitait pas différemment les couples hétérosexuels non mariés des couples homosexuels (paragraphe </w:t>
      </w:r>
      <w:r w:rsidR="003C71B5" w:rsidRPr="004618D5">
        <w:rPr>
          <w:lang w:val="fr-FR"/>
        </w:rPr>
        <w:t>82</w:t>
      </w:r>
      <w:r w:rsidR="004618D5" w:rsidRPr="004618D5">
        <w:rPr>
          <w:bCs/>
          <w:lang w:val="fr-FR"/>
        </w:rPr>
        <w:t xml:space="preserve"> ci</w:t>
      </w:r>
      <w:r w:rsidR="004618D5" w:rsidRPr="004618D5">
        <w:rPr>
          <w:bCs/>
          <w:lang w:val="fr-FR"/>
        </w:rPr>
        <w:noBreakHyphen/>
      </w:r>
      <w:r w:rsidR="004D0D62" w:rsidRPr="004618D5">
        <w:rPr>
          <w:bCs/>
          <w:lang w:val="fr-FR"/>
        </w:rPr>
        <w:t>dessus)</w:t>
      </w:r>
      <w:r w:rsidR="00A43422" w:rsidRPr="004618D5">
        <w:rPr>
          <w:bCs/>
          <w:lang w:val="fr-FR"/>
        </w:rPr>
        <w:t xml:space="preserve">, </w:t>
      </w:r>
      <w:r w:rsidR="004D0D62" w:rsidRPr="004618D5">
        <w:rPr>
          <w:bCs/>
          <w:lang w:val="fr-FR"/>
        </w:rPr>
        <w:t>mais limitait la notion de « membres de la famille » aux conjoints hétérosexuels</w:t>
      </w:r>
      <w:r w:rsidR="00A43422" w:rsidRPr="004618D5">
        <w:rPr>
          <w:bCs/>
          <w:lang w:val="fr-FR"/>
        </w:rPr>
        <w:t xml:space="preserve">. </w:t>
      </w:r>
      <w:r w:rsidR="004D0D62" w:rsidRPr="004618D5">
        <w:rPr>
          <w:bCs/>
          <w:lang w:val="fr-FR"/>
        </w:rPr>
        <w:t>Cependant, le fait d</w:t>
      </w:r>
      <w:r w:rsidR="004618D5" w:rsidRPr="004618D5">
        <w:rPr>
          <w:bCs/>
          <w:lang w:val="fr-FR"/>
        </w:rPr>
        <w:t>’</w:t>
      </w:r>
      <w:r w:rsidR="004D0D62" w:rsidRPr="004618D5">
        <w:rPr>
          <w:bCs/>
          <w:lang w:val="fr-FR"/>
        </w:rPr>
        <w:t>appliquer la même règle restrictive découlant du décret législatif n</w:t>
      </w:r>
      <w:r w:rsidR="00B55B33" w:rsidRPr="004618D5">
        <w:rPr>
          <w:bCs/>
          <w:vertAlign w:val="superscript"/>
          <w:lang w:val="fr-FR"/>
        </w:rPr>
        <w:t>o</w:t>
      </w:r>
      <w:r w:rsidR="0073637C" w:rsidRPr="004618D5">
        <w:rPr>
          <w:bCs/>
          <w:lang w:val="fr-FR"/>
        </w:rPr>
        <w:t> </w:t>
      </w:r>
      <w:r w:rsidR="004D0D62" w:rsidRPr="004618D5">
        <w:rPr>
          <w:bCs/>
          <w:lang w:val="fr-FR"/>
        </w:rPr>
        <w:t xml:space="preserve">286 de 1998 aux couples </w:t>
      </w:r>
      <w:r w:rsidR="00CD596B" w:rsidRPr="004618D5">
        <w:rPr>
          <w:bCs/>
          <w:lang w:val="fr-FR"/>
        </w:rPr>
        <w:t>hétérosexuels</w:t>
      </w:r>
      <w:r w:rsidR="004D0D62" w:rsidRPr="004618D5">
        <w:rPr>
          <w:bCs/>
          <w:lang w:val="fr-FR"/>
        </w:rPr>
        <w:t xml:space="preserve"> non régularisés et aux couples homosexuels, dans le</w:t>
      </w:r>
      <w:r w:rsidR="00CD596B" w:rsidRPr="004618D5">
        <w:rPr>
          <w:bCs/>
          <w:lang w:val="fr-FR"/>
        </w:rPr>
        <w:t xml:space="preserve"> seul</w:t>
      </w:r>
      <w:r w:rsidR="004D0D62" w:rsidRPr="004618D5">
        <w:rPr>
          <w:bCs/>
          <w:lang w:val="fr-FR"/>
        </w:rPr>
        <w:t xml:space="preserve"> but de </w:t>
      </w:r>
      <w:r w:rsidR="00CD596B" w:rsidRPr="004618D5">
        <w:rPr>
          <w:bCs/>
          <w:lang w:val="fr-FR"/>
        </w:rPr>
        <w:t>protéger</w:t>
      </w:r>
      <w:r w:rsidR="004D0D62" w:rsidRPr="004618D5">
        <w:rPr>
          <w:bCs/>
          <w:lang w:val="fr-FR"/>
        </w:rPr>
        <w:t xml:space="preserve"> </w:t>
      </w:r>
      <w:r w:rsidR="004D0D62" w:rsidRPr="004618D5">
        <w:rPr>
          <w:lang w:val="fr-FR"/>
        </w:rPr>
        <w:t>la famille traditionnelle</w:t>
      </w:r>
      <w:r w:rsidR="004D0D62" w:rsidRPr="004618D5">
        <w:rPr>
          <w:bCs/>
          <w:lang w:val="fr-FR"/>
        </w:rPr>
        <w:t xml:space="preserve"> </w:t>
      </w:r>
      <w:r w:rsidR="00A43422" w:rsidRPr="004618D5">
        <w:rPr>
          <w:bCs/>
          <w:lang w:val="fr-FR"/>
        </w:rPr>
        <w:t>(paragraph</w:t>
      </w:r>
      <w:r w:rsidR="004D0D62" w:rsidRPr="004618D5">
        <w:rPr>
          <w:bCs/>
          <w:lang w:val="fr-FR"/>
        </w:rPr>
        <w:t>e</w:t>
      </w:r>
      <w:r w:rsidR="00A43422" w:rsidRPr="004618D5">
        <w:rPr>
          <w:bCs/>
          <w:lang w:val="fr-FR"/>
        </w:rPr>
        <w:t xml:space="preserve"> </w:t>
      </w:r>
      <w:r w:rsidR="003C71B5" w:rsidRPr="004618D5">
        <w:rPr>
          <w:lang w:val="fr-FR"/>
        </w:rPr>
        <w:t>93</w:t>
      </w:r>
      <w:r w:rsidR="00A43422" w:rsidRPr="004618D5">
        <w:rPr>
          <w:bCs/>
          <w:lang w:val="fr-FR"/>
        </w:rPr>
        <w:t xml:space="preserve"> </w:t>
      </w:r>
      <w:r w:rsidR="004D0D62" w:rsidRPr="004618D5">
        <w:rPr>
          <w:bCs/>
          <w:lang w:val="fr-FR"/>
        </w:rPr>
        <w:t>ci-dessus</w:t>
      </w:r>
      <w:r w:rsidR="00A43422" w:rsidRPr="004618D5">
        <w:rPr>
          <w:bCs/>
          <w:lang w:val="fr-FR"/>
        </w:rPr>
        <w:t xml:space="preserve">), </w:t>
      </w:r>
      <w:r w:rsidR="00CD596B" w:rsidRPr="004618D5">
        <w:rPr>
          <w:bCs/>
          <w:lang w:val="fr-FR"/>
        </w:rPr>
        <w:t xml:space="preserve">a soumis </w:t>
      </w:r>
      <w:r w:rsidR="004D0D62" w:rsidRPr="004618D5">
        <w:rPr>
          <w:bCs/>
          <w:lang w:val="fr-FR"/>
        </w:rPr>
        <w:t xml:space="preserve">les requérants </w:t>
      </w:r>
      <w:r w:rsidR="00CD596B" w:rsidRPr="004618D5">
        <w:rPr>
          <w:bCs/>
          <w:lang w:val="fr-FR"/>
        </w:rPr>
        <w:t xml:space="preserve">à </w:t>
      </w:r>
      <w:r w:rsidR="004D0D62" w:rsidRPr="004618D5">
        <w:rPr>
          <w:bCs/>
          <w:lang w:val="fr-FR"/>
        </w:rPr>
        <w:t xml:space="preserve">un traitement </w:t>
      </w:r>
      <w:r w:rsidR="00CD596B" w:rsidRPr="004618D5">
        <w:rPr>
          <w:bCs/>
          <w:lang w:val="fr-FR"/>
        </w:rPr>
        <w:t>discriminatoire. En effet, sans justification objective et raisonnable, l</w:t>
      </w:r>
      <w:r w:rsidR="004618D5" w:rsidRPr="004618D5">
        <w:rPr>
          <w:bCs/>
          <w:lang w:val="fr-FR"/>
        </w:rPr>
        <w:t>’</w:t>
      </w:r>
      <w:r w:rsidR="00CD596B" w:rsidRPr="004618D5">
        <w:rPr>
          <w:bCs/>
          <w:lang w:val="fr-FR"/>
        </w:rPr>
        <w:t>État italien a omis de les traiter différemment des couples hétérosexuels et de tenir compte de la capacité de ces derniers d</w:t>
      </w:r>
      <w:r w:rsidR="004618D5" w:rsidRPr="004618D5">
        <w:rPr>
          <w:bCs/>
          <w:lang w:val="fr-FR"/>
        </w:rPr>
        <w:t>’</w:t>
      </w:r>
      <w:r w:rsidR="00CD596B" w:rsidRPr="004618D5">
        <w:rPr>
          <w:bCs/>
          <w:lang w:val="fr-FR"/>
        </w:rPr>
        <w:t>obtenir une reconnaissance légale de leur relation</w:t>
      </w:r>
      <w:r w:rsidR="00B130B6" w:rsidRPr="004618D5">
        <w:rPr>
          <w:bCs/>
          <w:lang w:val="fr-FR"/>
        </w:rPr>
        <w:t>,</w:t>
      </w:r>
      <w:r w:rsidR="00CD596B" w:rsidRPr="004618D5">
        <w:rPr>
          <w:bCs/>
          <w:lang w:val="fr-FR"/>
        </w:rPr>
        <w:t xml:space="preserve"> et donc de satisfaire aux exigences du droit interne aux fins de l</w:t>
      </w:r>
      <w:r w:rsidR="004618D5" w:rsidRPr="004618D5">
        <w:rPr>
          <w:bCs/>
          <w:lang w:val="fr-FR"/>
        </w:rPr>
        <w:t>’</w:t>
      </w:r>
      <w:r w:rsidR="00CD596B" w:rsidRPr="004618D5">
        <w:rPr>
          <w:bCs/>
          <w:lang w:val="fr-FR"/>
        </w:rPr>
        <w:t>octroi du permis de séjour</w:t>
      </w:r>
      <w:r w:rsidR="00B130B6" w:rsidRPr="004618D5">
        <w:rPr>
          <w:bCs/>
          <w:lang w:val="fr-FR"/>
        </w:rPr>
        <w:t xml:space="preserve"> de famille</w:t>
      </w:r>
      <w:r w:rsidR="00CD596B" w:rsidRPr="004618D5">
        <w:rPr>
          <w:bCs/>
          <w:lang w:val="fr-FR"/>
        </w:rPr>
        <w:t>, une possibilité dont les requérants ne jouissaient pas</w:t>
      </w:r>
      <w:r w:rsidR="00A43422" w:rsidRPr="004618D5">
        <w:rPr>
          <w:bCs/>
          <w:lang w:val="fr-FR"/>
        </w:rPr>
        <w:t xml:space="preserve"> (</w:t>
      </w:r>
      <w:r w:rsidR="00A43422" w:rsidRPr="004618D5">
        <w:rPr>
          <w:bCs/>
          <w:i/>
          <w:iCs/>
          <w:lang w:val="fr-FR"/>
        </w:rPr>
        <w:t>Thlimmenos</w:t>
      </w:r>
      <w:r w:rsidR="00A43422" w:rsidRPr="004618D5">
        <w:rPr>
          <w:bCs/>
          <w:lang w:val="fr-FR"/>
        </w:rPr>
        <w:t xml:space="preserve">, </w:t>
      </w:r>
      <w:r w:rsidR="00CD596B" w:rsidRPr="004618D5">
        <w:rPr>
          <w:bCs/>
          <w:lang w:val="fr-FR"/>
        </w:rPr>
        <w:t>précité</w:t>
      </w:r>
      <w:r w:rsidR="00A43422" w:rsidRPr="004618D5">
        <w:rPr>
          <w:bCs/>
          <w:lang w:val="fr-FR"/>
        </w:rPr>
        <w:t>, § 44).</w:t>
      </w:r>
    </w:p>
    <w:p w:rsidR="00B8087D" w:rsidRPr="004618D5" w:rsidRDefault="00244C06"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95</w:t>
      </w:r>
      <w:r w:rsidRPr="004618D5">
        <w:rPr>
          <w:lang w:val="fr-FR"/>
        </w:rPr>
        <w:fldChar w:fldCharType="end"/>
      </w:r>
      <w:r w:rsidRPr="004618D5">
        <w:rPr>
          <w:lang w:val="fr-FR"/>
        </w:rPr>
        <w:t>.  </w:t>
      </w:r>
      <w:r w:rsidR="005F763C" w:rsidRPr="004618D5">
        <w:rPr>
          <w:lang w:val="fr-FR"/>
        </w:rPr>
        <w:t>La Cour observe par ailleurs que c</w:t>
      </w:r>
      <w:r w:rsidR="004618D5" w:rsidRPr="004618D5">
        <w:rPr>
          <w:lang w:val="fr-FR"/>
        </w:rPr>
        <w:t>’</w:t>
      </w:r>
      <w:r w:rsidR="005F763C" w:rsidRPr="004618D5">
        <w:rPr>
          <w:lang w:val="fr-FR"/>
        </w:rPr>
        <w:t>est précisément l</w:t>
      </w:r>
      <w:r w:rsidR="004618D5" w:rsidRPr="004618D5">
        <w:rPr>
          <w:lang w:val="fr-FR"/>
        </w:rPr>
        <w:t>’</w:t>
      </w:r>
      <w:r w:rsidR="005F763C" w:rsidRPr="004618D5">
        <w:rPr>
          <w:lang w:val="fr-FR"/>
        </w:rPr>
        <w:t>absence de la</w:t>
      </w:r>
      <w:r w:rsidR="0051173A" w:rsidRPr="004618D5">
        <w:rPr>
          <w:lang w:val="fr-FR"/>
        </w:rPr>
        <w:t xml:space="preserve"> possibilité, pour les couples homosexuels, d</w:t>
      </w:r>
      <w:r w:rsidR="004618D5" w:rsidRPr="004618D5">
        <w:rPr>
          <w:lang w:val="fr-FR"/>
        </w:rPr>
        <w:t>’</w:t>
      </w:r>
      <w:r w:rsidR="0051173A" w:rsidRPr="004618D5">
        <w:rPr>
          <w:lang w:val="fr-FR"/>
        </w:rPr>
        <w:t xml:space="preserve">avoir accès </w:t>
      </w:r>
      <w:r w:rsidR="005F763C" w:rsidRPr="004618D5">
        <w:rPr>
          <w:lang w:val="fr-FR"/>
        </w:rPr>
        <w:t>à une forme de reconnaissance légale</w:t>
      </w:r>
      <w:r w:rsidR="0051173A" w:rsidRPr="004618D5">
        <w:rPr>
          <w:lang w:val="fr-FR"/>
        </w:rPr>
        <w:t xml:space="preserve"> qui a placé les requérants dans une situation différente </w:t>
      </w:r>
      <w:r w:rsidR="00A505F6" w:rsidRPr="004618D5">
        <w:rPr>
          <w:lang w:val="fr-FR"/>
        </w:rPr>
        <w:t>de</w:t>
      </w:r>
      <w:r w:rsidR="0051173A" w:rsidRPr="004618D5">
        <w:rPr>
          <w:lang w:val="fr-FR"/>
        </w:rPr>
        <w:t xml:space="preserve"> celle d</w:t>
      </w:r>
      <w:r w:rsidR="004618D5" w:rsidRPr="004618D5">
        <w:rPr>
          <w:lang w:val="fr-FR"/>
        </w:rPr>
        <w:t>’</w:t>
      </w:r>
      <w:r w:rsidR="0051173A" w:rsidRPr="004618D5">
        <w:rPr>
          <w:lang w:val="fr-FR"/>
        </w:rPr>
        <w:t xml:space="preserve">un couple hétérosexuel non marié (paragraphe </w:t>
      </w:r>
      <w:r w:rsidR="003C71B5" w:rsidRPr="004618D5">
        <w:rPr>
          <w:lang w:val="fr-FR"/>
        </w:rPr>
        <w:t>83</w:t>
      </w:r>
      <w:r w:rsidR="0051173A" w:rsidRPr="004618D5">
        <w:rPr>
          <w:lang w:val="fr-FR"/>
        </w:rPr>
        <w:t xml:space="preserve"> ci-dessus). </w:t>
      </w:r>
      <w:r w:rsidR="005F763C" w:rsidRPr="004618D5">
        <w:rPr>
          <w:lang w:val="fr-FR"/>
        </w:rPr>
        <w:t>À supposer même qu</w:t>
      </w:r>
      <w:r w:rsidR="004618D5" w:rsidRPr="004618D5">
        <w:rPr>
          <w:lang w:val="fr-FR"/>
        </w:rPr>
        <w:t>’</w:t>
      </w:r>
      <w:r w:rsidR="005F763C" w:rsidRPr="004618D5">
        <w:rPr>
          <w:lang w:val="fr-FR"/>
        </w:rPr>
        <w:t>à l</w:t>
      </w:r>
      <w:r w:rsidR="004618D5" w:rsidRPr="004618D5">
        <w:rPr>
          <w:lang w:val="fr-FR"/>
        </w:rPr>
        <w:t>’</w:t>
      </w:r>
      <w:r w:rsidR="005F763C" w:rsidRPr="004618D5">
        <w:rPr>
          <w:lang w:val="fr-FR"/>
        </w:rPr>
        <w:t>époque litigieuse la Convention n</w:t>
      </w:r>
      <w:r w:rsidR="004618D5" w:rsidRPr="004618D5">
        <w:rPr>
          <w:lang w:val="fr-FR"/>
        </w:rPr>
        <w:t>’</w:t>
      </w:r>
      <w:r w:rsidR="005F763C" w:rsidRPr="004618D5">
        <w:rPr>
          <w:lang w:val="fr-FR"/>
        </w:rPr>
        <w:t xml:space="preserve">obligeait pas le Gouvernement à prévoir, pour les personnes du même sexe engagées dans une relation stable et sérieuse, la possibilité de conclure une union civile ou un partenariat enregistré attestant leur statut et leur garantissant certains </w:t>
      </w:r>
      <w:r w:rsidR="005F763C" w:rsidRPr="004618D5">
        <w:rPr>
          <w:lang w:val="fr-FR"/>
        </w:rPr>
        <w:lastRenderedPageBreak/>
        <w:t>droits essentiels, ceci ne saurait affecter en rien le constat qu</w:t>
      </w:r>
      <w:r w:rsidR="004618D5" w:rsidRPr="004618D5">
        <w:rPr>
          <w:lang w:val="fr-FR"/>
        </w:rPr>
        <w:t>’</w:t>
      </w:r>
      <w:r w:rsidR="005F763C" w:rsidRPr="004618D5">
        <w:rPr>
          <w:lang w:val="fr-FR"/>
        </w:rPr>
        <w:t>à la différence d</w:t>
      </w:r>
      <w:r w:rsidR="004618D5" w:rsidRPr="004618D5">
        <w:rPr>
          <w:lang w:val="fr-FR"/>
        </w:rPr>
        <w:t>’</w:t>
      </w:r>
      <w:r w:rsidR="005F763C" w:rsidRPr="004618D5">
        <w:rPr>
          <w:lang w:val="fr-FR"/>
        </w:rPr>
        <w:t>un couple hétérosexuel, le deuxième requérant ne disposait, en Italie, d</w:t>
      </w:r>
      <w:r w:rsidR="004618D5" w:rsidRPr="004618D5">
        <w:rPr>
          <w:lang w:val="fr-FR"/>
        </w:rPr>
        <w:t>’</w:t>
      </w:r>
      <w:r w:rsidR="005F763C" w:rsidRPr="004618D5">
        <w:rPr>
          <w:lang w:val="fr-FR"/>
        </w:rPr>
        <w:t>aucun moyen légal pour se voir reconnaître le statut de « membre de la famille » du premier requérant et pour pouvoir dès lors bénéficier d</w:t>
      </w:r>
      <w:r w:rsidR="004618D5" w:rsidRPr="004618D5">
        <w:rPr>
          <w:lang w:val="fr-FR"/>
        </w:rPr>
        <w:t>’</w:t>
      </w:r>
      <w:r w:rsidR="005F763C" w:rsidRPr="004618D5">
        <w:rPr>
          <w:lang w:val="fr-FR"/>
        </w:rPr>
        <w:t>un permis de séjour pour raison familiale.</w:t>
      </w:r>
    </w:p>
    <w:p w:rsidR="0017185A" w:rsidRPr="004618D5" w:rsidRDefault="005F763C"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96</w:t>
      </w:r>
      <w:r w:rsidRPr="004618D5">
        <w:rPr>
          <w:lang w:val="fr-FR"/>
        </w:rPr>
        <w:fldChar w:fldCharType="end"/>
      </w:r>
      <w:r w:rsidRPr="004618D5">
        <w:rPr>
          <w:lang w:val="fr-FR"/>
        </w:rPr>
        <w:t>.  </w:t>
      </w:r>
      <w:r w:rsidR="006950EC" w:rsidRPr="004618D5">
        <w:rPr>
          <w:lang w:val="fr-FR"/>
        </w:rPr>
        <w:t xml:space="preserve">La Cour </w:t>
      </w:r>
      <w:r w:rsidR="00F601FF" w:rsidRPr="004618D5">
        <w:rPr>
          <w:lang w:val="fr-FR"/>
        </w:rPr>
        <w:t>note que le Gouvernement</w:t>
      </w:r>
      <w:r w:rsidR="006950EC" w:rsidRPr="004618D5">
        <w:rPr>
          <w:lang w:val="fr-FR"/>
        </w:rPr>
        <w:t xml:space="preserve"> </w:t>
      </w:r>
      <w:r w:rsidR="00F601FF" w:rsidRPr="004618D5">
        <w:rPr>
          <w:lang w:val="fr-FR"/>
        </w:rPr>
        <w:t>n</w:t>
      </w:r>
      <w:r w:rsidR="004618D5" w:rsidRPr="004618D5">
        <w:rPr>
          <w:lang w:val="fr-FR"/>
        </w:rPr>
        <w:t>’</w:t>
      </w:r>
      <w:r w:rsidR="00F601FF" w:rsidRPr="004618D5">
        <w:rPr>
          <w:lang w:val="fr-FR"/>
        </w:rPr>
        <w:t>a pas indiqué</w:t>
      </w:r>
      <w:r w:rsidR="006950EC" w:rsidRPr="004618D5">
        <w:rPr>
          <w:lang w:val="fr-FR"/>
        </w:rPr>
        <w:t xml:space="preserve"> d</w:t>
      </w:r>
      <w:r w:rsidR="004618D5" w:rsidRPr="004618D5">
        <w:rPr>
          <w:lang w:val="fr-FR"/>
        </w:rPr>
        <w:t>’</w:t>
      </w:r>
      <w:r w:rsidR="006950EC" w:rsidRPr="004618D5">
        <w:rPr>
          <w:lang w:val="fr-FR"/>
        </w:rPr>
        <w:t xml:space="preserve">autres buts légitimes </w:t>
      </w:r>
      <w:r w:rsidR="004A2512" w:rsidRPr="004618D5">
        <w:rPr>
          <w:lang w:val="fr-FR"/>
        </w:rPr>
        <w:t xml:space="preserve">susceptibles </w:t>
      </w:r>
      <w:r w:rsidR="006950EC" w:rsidRPr="004618D5">
        <w:rPr>
          <w:lang w:val="fr-FR"/>
        </w:rPr>
        <w:t>de justifier la discrimination dénoncée par les requérants.</w:t>
      </w:r>
      <w:r w:rsidR="00F601FF" w:rsidRPr="004618D5">
        <w:rPr>
          <w:lang w:val="fr-FR"/>
        </w:rPr>
        <w:t xml:space="preserve"> </w:t>
      </w:r>
      <w:r w:rsidR="006950EC" w:rsidRPr="004618D5">
        <w:rPr>
          <w:lang w:val="fr-FR"/>
        </w:rPr>
        <w:t xml:space="preserve">Partant, elle considère que, dans le cadre de la procédure </w:t>
      </w:r>
      <w:r w:rsidR="00AD3208" w:rsidRPr="004618D5">
        <w:rPr>
          <w:lang w:val="fr-FR"/>
        </w:rPr>
        <w:t xml:space="preserve">que les requérants ont engagée aux </w:t>
      </w:r>
      <w:r w:rsidR="001D6F2C" w:rsidRPr="004618D5">
        <w:rPr>
          <w:lang w:val="fr-FR"/>
        </w:rPr>
        <w:t xml:space="preserve">fins </w:t>
      </w:r>
      <w:r w:rsidR="00AD3208" w:rsidRPr="004618D5">
        <w:rPr>
          <w:lang w:val="fr-FR"/>
        </w:rPr>
        <w:t>de l</w:t>
      </w:r>
      <w:r w:rsidR="004618D5" w:rsidRPr="004618D5">
        <w:rPr>
          <w:lang w:val="fr-FR"/>
        </w:rPr>
        <w:t>’</w:t>
      </w:r>
      <w:r w:rsidR="00AD3208" w:rsidRPr="004618D5">
        <w:rPr>
          <w:lang w:val="fr-FR"/>
        </w:rPr>
        <w:t xml:space="preserve">obtention </w:t>
      </w:r>
      <w:r w:rsidR="006950EC" w:rsidRPr="004618D5">
        <w:rPr>
          <w:lang w:val="fr-FR"/>
        </w:rPr>
        <w:t xml:space="preserve">du permis de séjour </w:t>
      </w:r>
      <w:r w:rsidR="00A505F6" w:rsidRPr="004618D5">
        <w:rPr>
          <w:lang w:val="fr-FR"/>
        </w:rPr>
        <w:t>pour raison familiale</w:t>
      </w:r>
      <w:r w:rsidR="006950EC" w:rsidRPr="004618D5">
        <w:rPr>
          <w:lang w:val="fr-FR"/>
        </w:rPr>
        <w:t xml:space="preserve">, </w:t>
      </w:r>
      <w:r w:rsidR="00A505F6" w:rsidRPr="004618D5">
        <w:rPr>
          <w:lang w:val="fr-FR"/>
        </w:rPr>
        <w:t>le fait de ne pas avoir traité</w:t>
      </w:r>
      <w:r w:rsidR="004A2512" w:rsidRPr="004618D5">
        <w:rPr>
          <w:lang w:val="fr-FR"/>
        </w:rPr>
        <w:t xml:space="preserve"> les intéressés</w:t>
      </w:r>
      <w:r w:rsidR="006950EC" w:rsidRPr="004618D5">
        <w:rPr>
          <w:lang w:val="fr-FR"/>
        </w:rPr>
        <w:t xml:space="preserve"> différemment </w:t>
      </w:r>
      <w:r w:rsidR="00A505F6" w:rsidRPr="004618D5">
        <w:rPr>
          <w:lang w:val="fr-FR"/>
        </w:rPr>
        <w:t>des</w:t>
      </w:r>
      <w:r w:rsidR="006950EC" w:rsidRPr="004618D5">
        <w:rPr>
          <w:lang w:val="fr-FR"/>
        </w:rPr>
        <w:t xml:space="preserve"> couples hétérosexuels non mariés, qui seuls avaient </w:t>
      </w:r>
      <w:r w:rsidR="00FB2992" w:rsidRPr="004618D5">
        <w:rPr>
          <w:lang w:val="fr-FR"/>
        </w:rPr>
        <w:t xml:space="preserve">accès </w:t>
      </w:r>
      <w:r w:rsidRPr="004618D5">
        <w:rPr>
          <w:lang w:val="fr-FR"/>
        </w:rPr>
        <w:t>à une forme de régularisation de leur union</w:t>
      </w:r>
      <w:r w:rsidR="006950EC" w:rsidRPr="004618D5">
        <w:rPr>
          <w:lang w:val="fr-FR"/>
        </w:rPr>
        <w:t>, n</w:t>
      </w:r>
      <w:r w:rsidR="004618D5" w:rsidRPr="004618D5">
        <w:rPr>
          <w:lang w:val="fr-FR"/>
        </w:rPr>
        <w:t>’</w:t>
      </w:r>
      <w:r w:rsidR="006950EC" w:rsidRPr="004618D5">
        <w:rPr>
          <w:lang w:val="fr-FR"/>
        </w:rPr>
        <w:t xml:space="preserve">avait aucune justification objective et raisonnable. </w:t>
      </w:r>
      <w:r w:rsidR="00AC1EFB" w:rsidRPr="004618D5">
        <w:rPr>
          <w:lang w:val="fr-FR"/>
        </w:rPr>
        <w:t>Aux yeux de la Cour, l</w:t>
      </w:r>
      <w:r w:rsidR="004618D5" w:rsidRPr="004618D5">
        <w:rPr>
          <w:lang w:val="fr-FR"/>
        </w:rPr>
        <w:t>’</w:t>
      </w:r>
      <w:r w:rsidR="00AC1EFB" w:rsidRPr="004618D5">
        <w:rPr>
          <w:lang w:val="fr-FR"/>
        </w:rPr>
        <w:t>interprétation restrictive appliquée au deuxième requérant de la notion de « membre de la famille » n</w:t>
      </w:r>
      <w:r w:rsidR="004618D5" w:rsidRPr="004618D5">
        <w:rPr>
          <w:lang w:val="fr-FR"/>
        </w:rPr>
        <w:t>’</w:t>
      </w:r>
      <w:r w:rsidR="00AC1EFB" w:rsidRPr="004618D5">
        <w:rPr>
          <w:lang w:val="fr-FR"/>
        </w:rPr>
        <w:t>a pas dûment tenu compte de la situation personnelle des requérants et notamment de l</w:t>
      </w:r>
      <w:r w:rsidR="004618D5" w:rsidRPr="004618D5">
        <w:rPr>
          <w:lang w:val="fr-FR"/>
        </w:rPr>
        <w:t>’</w:t>
      </w:r>
      <w:r w:rsidR="00AC1EFB" w:rsidRPr="004618D5">
        <w:rPr>
          <w:lang w:val="fr-FR"/>
        </w:rPr>
        <w:t>impossibilité pour eux d</w:t>
      </w:r>
      <w:r w:rsidR="004618D5" w:rsidRPr="004618D5">
        <w:rPr>
          <w:lang w:val="fr-FR"/>
        </w:rPr>
        <w:t>’</w:t>
      </w:r>
      <w:r w:rsidR="00AC1EFB" w:rsidRPr="004618D5">
        <w:rPr>
          <w:lang w:val="fr-FR"/>
        </w:rPr>
        <w:t>obtenir</w:t>
      </w:r>
      <w:r w:rsidR="00583BCC" w:rsidRPr="004618D5">
        <w:rPr>
          <w:lang w:val="fr-FR"/>
        </w:rPr>
        <w:t xml:space="preserve"> en Italie</w:t>
      </w:r>
      <w:r w:rsidR="00AC1EFB" w:rsidRPr="004618D5">
        <w:rPr>
          <w:lang w:val="fr-FR"/>
        </w:rPr>
        <w:t xml:space="preserve"> un mode de reconnaissance juridique de leur relation</w:t>
      </w:r>
      <w:r w:rsidR="00FA36D0" w:rsidRPr="004618D5">
        <w:rPr>
          <w:lang w:val="fr-FR"/>
        </w:rPr>
        <w:t xml:space="preserve"> (voir, en particulier, la jurisprudence citée au paragraphe </w:t>
      </w:r>
      <w:r w:rsidR="003C71B5" w:rsidRPr="004618D5">
        <w:rPr>
          <w:lang w:val="fr-FR"/>
        </w:rPr>
        <w:t>87</w:t>
      </w:r>
      <w:r w:rsidR="00FA36D0" w:rsidRPr="004618D5">
        <w:rPr>
          <w:lang w:val="fr-FR"/>
        </w:rPr>
        <w:t xml:space="preserve"> ci-dessus)</w:t>
      </w:r>
      <w:r w:rsidR="00A05263" w:rsidRPr="004618D5">
        <w:rPr>
          <w:lang w:val="fr-FR"/>
        </w:rPr>
        <w:t>.</w:t>
      </w:r>
    </w:p>
    <w:p w:rsidR="00AC1EFB" w:rsidRPr="004618D5" w:rsidRDefault="00AC1EFB"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97</w:t>
      </w:r>
      <w:r w:rsidRPr="004618D5">
        <w:rPr>
          <w:lang w:val="fr-FR"/>
        </w:rPr>
        <w:fldChar w:fldCharType="end"/>
      </w:r>
      <w:r w:rsidRPr="004618D5">
        <w:rPr>
          <w:lang w:val="fr-FR"/>
        </w:rPr>
        <w:t xml:space="preserve">.  La Cour note </w:t>
      </w:r>
      <w:r w:rsidR="00583BCC" w:rsidRPr="004618D5">
        <w:rPr>
          <w:lang w:val="fr-FR"/>
        </w:rPr>
        <w:t>également</w:t>
      </w:r>
      <w:r w:rsidRPr="004618D5">
        <w:rPr>
          <w:lang w:val="fr-FR"/>
        </w:rPr>
        <w:t xml:space="preserve"> que le Gouvernement n</w:t>
      </w:r>
      <w:r w:rsidR="004618D5" w:rsidRPr="004618D5">
        <w:rPr>
          <w:lang w:val="fr-FR"/>
        </w:rPr>
        <w:t>’</w:t>
      </w:r>
      <w:r w:rsidRPr="004618D5">
        <w:rPr>
          <w:lang w:val="fr-FR"/>
        </w:rPr>
        <w:t xml:space="preserve">a contesté </w:t>
      </w:r>
      <w:r w:rsidR="00A061A8" w:rsidRPr="004618D5">
        <w:rPr>
          <w:lang w:val="fr-FR"/>
        </w:rPr>
        <w:t>ni l</w:t>
      </w:r>
      <w:r w:rsidR="004618D5" w:rsidRPr="004618D5">
        <w:rPr>
          <w:lang w:val="fr-FR"/>
        </w:rPr>
        <w:t>’</w:t>
      </w:r>
      <w:r w:rsidRPr="004618D5">
        <w:rPr>
          <w:lang w:val="fr-FR"/>
        </w:rPr>
        <w:t xml:space="preserve">affirmation </w:t>
      </w:r>
      <w:r w:rsidR="00A061A8" w:rsidRPr="004618D5">
        <w:rPr>
          <w:lang w:val="fr-FR"/>
        </w:rPr>
        <w:t xml:space="preserve">de </w:t>
      </w:r>
      <w:r w:rsidR="005D4FE2" w:rsidRPr="004618D5">
        <w:rPr>
          <w:lang w:val="fr-FR"/>
        </w:rPr>
        <w:t>l</w:t>
      </w:r>
      <w:r w:rsidR="004618D5" w:rsidRPr="004618D5">
        <w:rPr>
          <w:lang w:val="fr-FR"/>
        </w:rPr>
        <w:t>’</w:t>
      </w:r>
      <w:r w:rsidR="00A061A8" w:rsidRPr="004618D5">
        <w:rPr>
          <w:lang w:val="fr-FR"/>
        </w:rPr>
        <w:t>ICJ,</w:t>
      </w:r>
      <w:r w:rsidR="005D4FE2" w:rsidRPr="004618D5">
        <w:rPr>
          <w:lang w:val="fr-FR"/>
        </w:rPr>
        <w:t xml:space="preserve"> de</w:t>
      </w:r>
      <w:r w:rsidR="00A061A8" w:rsidRPr="004618D5">
        <w:rPr>
          <w:lang w:val="fr-FR"/>
        </w:rPr>
        <w:t xml:space="preserve"> </w:t>
      </w:r>
      <w:r w:rsidR="005D4FE2" w:rsidRPr="004618D5">
        <w:rPr>
          <w:lang w:val="fr-FR"/>
        </w:rPr>
        <w:t>l</w:t>
      </w:r>
      <w:r w:rsidR="004618D5" w:rsidRPr="004618D5">
        <w:rPr>
          <w:lang w:val="fr-FR"/>
        </w:rPr>
        <w:t>’</w:t>
      </w:r>
      <w:r w:rsidR="00A061A8" w:rsidRPr="004618D5">
        <w:rPr>
          <w:lang w:val="fr-FR"/>
        </w:rPr>
        <w:t xml:space="preserve">ILGA-Europe et </w:t>
      </w:r>
      <w:r w:rsidR="005D4FE2" w:rsidRPr="004618D5">
        <w:rPr>
          <w:lang w:val="fr-FR"/>
        </w:rPr>
        <w:t xml:space="preserve">du </w:t>
      </w:r>
      <w:r w:rsidR="00A061A8" w:rsidRPr="004618D5">
        <w:rPr>
          <w:lang w:val="fr-FR"/>
        </w:rPr>
        <w:t>NELFA</w:t>
      </w:r>
      <w:r w:rsidRPr="004618D5">
        <w:rPr>
          <w:lang w:val="fr-FR"/>
        </w:rPr>
        <w:t xml:space="preserve"> selon l</w:t>
      </w:r>
      <w:r w:rsidR="00A061A8" w:rsidRPr="004618D5">
        <w:rPr>
          <w:lang w:val="fr-FR"/>
        </w:rPr>
        <w:t>a</w:t>
      </w:r>
      <w:r w:rsidRPr="004618D5">
        <w:rPr>
          <w:lang w:val="fr-FR"/>
        </w:rPr>
        <w:t xml:space="preserve">quelle il y aurait, au niveau mondial, une « tendance significative » </w:t>
      </w:r>
      <w:r w:rsidR="00A061A8" w:rsidRPr="004618D5">
        <w:rPr>
          <w:lang w:val="fr-FR"/>
        </w:rPr>
        <w:t>à</w:t>
      </w:r>
      <w:r w:rsidRPr="004618D5">
        <w:rPr>
          <w:lang w:val="fr-FR"/>
        </w:rPr>
        <w:t xml:space="preserve"> traiter les partenaires d</w:t>
      </w:r>
      <w:r w:rsidR="001D6F2C" w:rsidRPr="004618D5">
        <w:rPr>
          <w:lang w:val="fr-FR"/>
        </w:rPr>
        <w:t>e</w:t>
      </w:r>
      <w:r w:rsidRPr="004618D5">
        <w:rPr>
          <w:lang w:val="fr-FR"/>
        </w:rPr>
        <w:t xml:space="preserve"> même sexe comme </w:t>
      </w:r>
      <w:r w:rsidR="000A4588" w:rsidRPr="004618D5">
        <w:rPr>
          <w:lang w:val="fr-FR"/>
        </w:rPr>
        <w:t xml:space="preserve">des </w:t>
      </w:r>
      <w:r w:rsidRPr="004618D5">
        <w:rPr>
          <w:lang w:val="fr-FR"/>
        </w:rPr>
        <w:t xml:space="preserve">« membres de la famille » et </w:t>
      </w:r>
      <w:r w:rsidR="00A061A8" w:rsidRPr="004618D5">
        <w:rPr>
          <w:lang w:val="fr-FR"/>
        </w:rPr>
        <w:t>à</w:t>
      </w:r>
      <w:r w:rsidRPr="004618D5">
        <w:rPr>
          <w:lang w:val="fr-FR"/>
        </w:rPr>
        <w:t xml:space="preserve"> leur reconnaître le droit de vivre ensemble (paragraphe </w:t>
      </w:r>
      <w:r w:rsidR="003C71B5" w:rsidRPr="004618D5">
        <w:rPr>
          <w:lang w:val="fr-FR"/>
        </w:rPr>
        <w:t>77</w:t>
      </w:r>
      <w:r w:rsidRPr="004618D5">
        <w:rPr>
          <w:lang w:val="fr-FR"/>
        </w:rPr>
        <w:t xml:space="preserve"> ci-dessus) </w:t>
      </w:r>
      <w:r w:rsidR="00A061A8" w:rsidRPr="004618D5">
        <w:rPr>
          <w:lang w:val="fr-FR"/>
        </w:rPr>
        <w:t>ni l</w:t>
      </w:r>
      <w:r w:rsidR="004618D5" w:rsidRPr="004618D5">
        <w:rPr>
          <w:lang w:val="fr-FR"/>
        </w:rPr>
        <w:t>’</w:t>
      </w:r>
      <w:r w:rsidR="00A061A8" w:rsidRPr="004618D5">
        <w:rPr>
          <w:lang w:val="fr-FR"/>
        </w:rPr>
        <w:t xml:space="preserve">analyse de droit comparé qui a conduit </w:t>
      </w:r>
      <w:r w:rsidR="005D4FE2" w:rsidRPr="004618D5">
        <w:rPr>
          <w:lang w:val="fr-FR"/>
        </w:rPr>
        <w:t>l</w:t>
      </w:r>
      <w:r w:rsidR="004618D5" w:rsidRPr="004618D5">
        <w:rPr>
          <w:lang w:val="fr-FR"/>
        </w:rPr>
        <w:t>’</w:t>
      </w:r>
      <w:r w:rsidR="00A061A8" w:rsidRPr="004618D5">
        <w:rPr>
          <w:lang w:val="fr-FR"/>
        </w:rPr>
        <w:t xml:space="preserve">ECSOL à </w:t>
      </w:r>
      <w:r w:rsidR="00AD3208" w:rsidRPr="004618D5">
        <w:rPr>
          <w:lang w:val="fr-FR"/>
        </w:rPr>
        <w:t>conclure à l</w:t>
      </w:r>
      <w:r w:rsidR="004618D5" w:rsidRPr="004618D5">
        <w:rPr>
          <w:lang w:val="fr-FR"/>
        </w:rPr>
        <w:t>’</w:t>
      </w:r>
      <w:r w:rsidR="00AD3208" w:rsidRPr="004618D5">
        <w:rPr>
          <w:lang w:val="fr-FR"/>
        </w:rPr>
        <w:t>émergence d</w:t>
      </w:r>
      <w:r w:rsidR="004618D5" w:rsidRPr="004618D5">
        <w:rPr>
          <w:lang w:val="fr-FR"/>
        </w:rPr>
        <w:t>’</w:t>
      </w:r>
      <w:r w:rsidR="00A061A8" w:rsidRPr="004618D5">
        <w:rPr>
          <w:lang w:val="fr-FR"/>
        </w:rPr>
        <w:t xml:space="preserve">un consensus européen </w:t>
      </w:r>
      <w:r w:rsidR="00AD3208" w:rsidRPr="004618D5">
        <w:rPr>
          <w:lang w:val="fr-FR"/>
        </w:rPr>
        <w:t>selon lequel</w:t>
      </w:r>
      <w:r w:rsidR="00A061A8" w:rsidRPr="004618D5">
        <w:rPr>
          <w:lang w:val="fr-FR"/>
        </w:rPr>
        <w:t>, en matière d</w:t>
      </w:r>
      <w:r w:rsidR="004618D5" w:rsidRPr="004618D5">
        <w:rPr>
          <w:lang w:val="fr-FR"/>
        </w:rPr>
        <w:t>’</w:t>
      </w:r>
      <w:r w:rsidR="00A061A8" w:rsidRPr="004618D5">
        <w:rPr>
          <w:lang w:val="fr-FR"/>
        </w:rPr>
        <w:t>immigration, les unions entre personnes d</w:t>
      </w:r>
      <w:r w:rsidR="000A4588" w:rsidRPr="004618D5">
        <w:rPr>
          <w:lang w:val="fr-FR"/>
        </w:rPr>
        <w:t>e</w:t>
      </w:r>
      <w:r w:rsidR="00A061A8" w:rsidRPr="004618D5">
        <w:rPr>
          <w:lang w:val="fr-FR"/>
        </w:rPr>
        <w:t xml:space="preserve"> même sexe </w:t>
      </w:r>
      <w:r w:rsidR="00AD3208" w:rsidRPr="004618D5">
        <w:rPr>
          <w:lang w:val="fr-FR"/>
        </w:rPr>
        <w:t xml:space="preserve">tendent à être vues </w:t>
      </w:r>
      <w:r w:rsidR="00A061A8" w:rsidRPr="004618D5">
        <w:rPr>
          <w:lang w:val="fr-FR"/>
        </w:rPr>
        <w:t xml:space="preserve">comme une « vie familiale » (paragraphe </w:t>
      </w:r>
      <w:r w:rsidR="003C71B5" w:rsidRPr="004618D5">
        <w:rPr>
          <w:lang w:val="fr-FR"/>
        </w:rPr>
        <w:t>79</w:t>
      </w:r>
      <w:r w:rsidR="00A061A8" w:rsidRPr="004618D5">
        <w:rPr>
          <w:lang w:val="fr-FR"/>
        </w:rPr>
        <w:t xml:space="preserve"> ci-dessus).</w:t>
      </w:r>
      <w:r w:rsidRPr="004618D5">
        <w:rPr>
          <w:lang w:val="fr-FR"/>
        </w:rPr>
        <w:t xml:space="preserve"> </w:t>
      </w:r>
      <w:r w:rsidR="00583BCC" w:rsidRPr="004618D5">
        <w:rPr>
          <w:rFonts w:cstheme="minorHAnsi"/>
          <w:lang w:val="fr-FR"/>
        </w:rPr>
        <w:t>À</w:t>
      </w:r>
      <w:r w:rsidR="00583BCC" w:rsidRPr="004618D5">
        <w:rPr>
          <w:lang w:val="fr-FR"/>
        </w:rPr>
        <w:t xml:space="preserve"> cet égard, </w:t>
      </w:r>
      <w:r w:rsidR="005D4FE2" w:rsidRPr="004618D5">
        <w:rPr>
          <w:lang w:val="fr-FR"/>
        </w:rPr>
        <w:t xml:space="preserve">elle </w:t>
      </w:r>
      <w:r w:rsidR="001D090E" w:rsidRPr="004618D5">
        <w:rPr>
          <w:lang w:val="fr-FR"/>
        </w:rPr>
        <w:t>souligne</w:t>
      </w:r>
      <w:r w:rsidR="00583BCC" w:rsidRPr="004618D5">
        <w:rPr>
          <w:lang w:val="fr-FR"/>
        </w:rPr>
        <w:t xml:space="preserve"> qu</w:t>
      </w:r>
      <w:r w:rsidR="004618D5" w:rsidRPr="004618D5">
        <w:rPr>
          <w:lang w:val="fr-FR"/>
        </w:rPr>
        <w:t>’</w:t>
      </w:r>
      <w:r w:rsidR="00583BCC" w:rsidRPr="004618D5">
        <w:rPr>
          <w:lang w:val="fr-FR"/>
        </w:rPr>
        <w:t xml:space="preserve">il ressort des « documents européens pertinents » (paragraphes </w:t>
      </w:r>
      <w:r w:rsidR="003C71B5" w:rsidRPr="004618D5">
        <w:rPr>
          <w:szCs w:val="24"/>
          <w:lang w:val="fr-FR"/>
        </w:rPr>
        <w:t>31</w:t>
      </w:r>
      <w:r w:rsidR="005D4FE2" w:rsidRPr="004618D5">
        <w:rPr>
          <w:lang w:val="fr-FR"/>
        </w:rPr>
        <w:t xml:space="preserve"> à </w:t>
      </w:r>
      <w:r w:rsidR="003C71B5" w:rsidRPr="004618D5">
        <w:rPr>
          <w:lang w:val="fr-FR"/>
        </w:rPr>
        <w:t>34</w:t>
      </w:r>
      <w:r w:rsidR="00583BCC" w:rsidRPr="004618D5">
        <w:rPr>
          <w:lang w:val="fr-FR"/>
        </w:rPr>
        <w:t xml:space="preserve"> ci-dessus) que tant le Parlement européen que l</w:t>
      </w:r>
      <w:r w:rsidR="004618D5" w:rsidRPr="004618D5">
        <w:rPr>
          <w:lang w:val="fr-FR"/>
        </w:rPr>
        <w:t>’</w:t>
      </w:r>
      <w:r w:rsidR="00583BCC" w:rsidRPr="004618D5">
        <w:rPr>
          <w:lang w:val="fr-FR"/>
        </w:rPr>
        <w:t>Assemblée parlementaire du Conseil de l</w:t>
      </w:r>
      <w:r w:rsidR="004618D5" w:rsidRPr="004618D5">
        <w:rPr>
          <w:lang w:val="fr-FR"/>
        </w:rPr>
        <w:t>’</w:t>
      </w:r>
      <w:r w:rsidR="00583BCC" w:rsidRPr="004618D5">
        <w:rPr>
          <w:lang w:val="fr-FR"/>
        </w:rPr>
        <w:t>Europe ont jugé problématique une interprétation restrictive, par les États membres, de la notion de « membre de la famille » dans le domaine de l</w:t>
      </w:r>
      <w:r w:rsidR="004618D5" w:rsidRPr="004618D5">
        <w:rPr>
          <w:lang w:val="fr-FR"/>
        </w:rPr>
        <w:t>’</w:t>
      </w:r>
      <w:r w:rsidR="00583BCC" w:rsidRPr="004618D5">
        <w:rPr>
          <w:lang w:val="fr-FR"/>
        </w:rPr>
        <w:t>immigration.</w:t>
      </w:r>
    </w:p>
    <w:p w:rsidR="006A0012" w:rsidRPr="004618D5" w:rsidRDefault="006A7614" w:rsidP="004618D5">
      <w:pPr>
        <w:pStyle w:val="ECHRHeading6"/>
        <w:rPr>
          <w:i w:val="0"/>
          <w:lang w:val="fr-FR"/>
        </w:rPr>
      </w:pPr>
      <w:r w:rsidRPr="004618D5">
        <w:rPr>
          <w:rFonts w:cstheme="majorHAnsi"/>
          <w:i w:val="0"/>
          <w:lang w:val="fr-FR"/>
        </w:rPr>
        <w:t>γ</w:t>
      </w:r>
      <w:r w:rsidRPr="004618D5">
        <w:rPr>
          <w:i w:val="0"/>
          <w:lang w:val="fr-FR"/>
        </w:rPr>
        <w:t>)</w:t>
      </w:r>
      <w:r w:rsidR="006A0012" w:rsidRPr="004618D5">
        <w:rPr>
          <w:i w:val="0"/>
          <w:lang w:val="fr-FR"/>
        </w:rPr>
        <w:t>  Conclusion</w:t>
      </w:r>
    </w:p>
    <w:p w:rsidR="006950EC" w:rsidRPr="004618D5" w:rsidRDefault="006A0012"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98</w:t>
      </w:r>
      <w:r w:rsidRPr="004618D5">
        <w:rPr>
          <w:lang w:val="fr-FR"/>
        </w:rPr>
        <w:fldChar w:fldCharType="end"/>
      </w:r>
      <w:r w:rsidRPr="004618D5">
        <w:rPr>
          <w:lang w:val="fr-FR"/>
        </w:rPr>
        <w:t>.  </w:t>
      </w:r>
      <w:r w:rsidR="006950EC" w:rsidRPr="004618D5">
        <w:rPr>
          <w:rFonts w:cstheme="minorHAnsi"/>
          <w:lang w:val="fr-FR"/>
        </w:rPr>
        <w:t>À</w:t>
      </w:r>
      <w:r w:rsidR="006950EC" w:rsidRPr="004618D5">
        <w:rPr>
          <w:lang w:val="fr-FR"/>
        </w:rPr>
        <w:t xml:space="preserve"> la lumière de ce qui précède, la Cour estime qu</w:t>
      </w:r>
      <w:r w:rsidR="004618D5" w:rsidRPr="004618D5">
        <w:rPr>
          <w:lang w:val="fr-FR"/>
        </w:rPr>
        <w:t>’</w:t>
      </w:r>
      <w:r w:rsidR="005F763C" w:rsidRPr="004618D5">
        <w:rPr>
          <w:lang w:val="fr-FR"/>
        </w:rPr>
        <w:t>à l</w:t>
      </w:r>
      <w:r w:rsidR="004618D5" w:rsidRPr="004618D5">
        <w:rPr>
          <w:lang w:val="fr-FR"/>
        </w:rPr>
        <w:t>’</w:t>
      </w:r>
      <w:r w:rsidR="005F763C" w:rsidRPr="004618D5">
        <w:rPr>
          <w:lang w:val="fr-FR"/>
        </w:rPr>
        <w:t>époque litigieuse,</w:t>
      </w:r>
      <w:r w:rsidR="006950EC" w:rsidRPr="004618D5">
        <w:rPr>
          <w:lang w:val="fr-FR"/>
        </w:rPr>
        <w:t xml:space="preserve"> en décidant de traiter, aux fins de l</w:t>
      </w:r>
      <w:r w:rsidR="004618D5" w:rsidRPr="004618D5">
        <w:rPr>
          <w:lang w:val="fr-FR"/>
        </w:rPr>
        <w:t>’</w:t>
      </w:r>
      <w:r w:rsidR="006950EC" w:rsidRPr="004618D5">
        <w:rPr>
          <w:lang w:val="fr-FR"/>
        </w:rPr>
        <w:t xml:space="preserve">octroi du permis de séjour </w:t>
      </w:r>
      <w:r w:rsidR="005D4FE2" w:rsidRPr="004618D5">
        <w:rPr>
          <w:lang w:val="fr-FR"/>
        </w:rPr>
        <w:t>pour raison familiale</w:t>
      </w:r>
      <w:r w:rsidR="006950EC" w:rsidRPr="004618D5">
        <w:rPr>
          <w:lang w:val="fr-FR"/>
        </w:rPr>
        <w:t xml:space="preserve">, </w:t>
      </w:r>
      <w:r w:rsidR="005F763C" w:rsidRPr="004618D5">
        <w:rPr>
          <w:lang w:val="fr-FR"/>
        </w:rPr>
        <w:t>les couples homosexuels</w:t>
      </w:r>
      <w:r w:rsidR="005F763C" w:rsidRPr="004618D5">
        <w:rPr>
          <w:b/>
          <w:lang w:val="fr-FR"/>
        </w:rPr>
        <w:t xml:space="preserve"> </w:t>
      </w:r>
      <w:r w:rsidR="006950EC" w:rsidRPr="004618D5">
        <w:rPr>
          <w:lang w:val="fr-FR"/>
        </w:rPr>
        <w:t xml:space="preserve">de </w:t>
      </w:r>
      <w:r w:rsidR="000A4588" w:rsidRPr="004618D5">
        <w:rPr>
          <w:lang w:val="fr-FR"/>
        </w:rPr>
        <w:t xml:space="preserve">la même </w:t>
      </w:r>
      <w:r w:rsidR="006950EC" w:rsidRPr="004618D5">
        <w:rPr>
          <w:lang w:val="fr-FR"/>
        </w:rPr>
        <w:t xml:space="preserve">manière </w:t>
      </w:r>
      <w:r w:rsidR="000A4588" w:rsidRPr="004618D5">
        <w:rPr>
          <w:lang w:val="fr-FR"/>
        </w:rPr>
        <w:t>que</w:t>
      </w:r>
      <w:r w:rsidR="006950EC" w:rsidRPr="004618D5">
        <w:rPr>
          <w:lang w:val="fr-FR"/>
        </w:rPr>
        <w:t xml:space="preserve"> des couples </w:t>
      </w:r>
      <w:r w:rsidR="00400B06" w:rsidRPr="004618D5">
        <w:rPr>
          <w:lang w:val="fr-FR"/>
        </w:rPr>
        <w:t>hétérosexuels</w:t>
      </w:r>
      <w:r w:rsidR="006950EC" w:rsidRPr="004618D5">
        <w:rPr>
          <w:lang w:val="fr-FR"/>
        </w:rPr>
        <w:t xml:space="preserve"> </w:t>
      </w:r>
      <w:r w:rsidR="005F763C" w:rsidRPr="004618D5">
        <w:rPr>
          <w:lang w:val="fr-FR"/>
        </w:rPr>
        <w:t>n</w:t>
      </w:r>
      <w:r w:rsidR="004618D5" w:rsidRPr="004618D5">
        <w:rPr>
          <w:lang w:val="fr-FR"/>
        </w:rPr>
        <w:t>’</w:t>
      </w:r>
      <w:r w:rsidR="005F763C" w:rsidRPr="004618D5">
        <w:rPr>
          <w:lang w:val="fr-FR"/>
        </w:rPr>
        <w:t>ayant pas régularisé leur situation</w:t>
      </w:r>
      <w:r w:rsidR="006950EC" w:rsidRPr="004618D5">
        <w:rPr>
          <w:lang w:val="fr-FR"/>
        </w:rPr>
        <w:t xml:space="preserve">, </w:t>
      </w:r>
      <w:r w:rsidR="005F763C" w:rsidRPr="004618D5">
        <w:rPr>
          <w:lang w:val="fr-FR"/>
        </w:rPr>
        <w:t>l</w:t>
      </w:r>
      <w:r w:rsidR="004618D5" w:rsidRPr="004618D5">
        <w:rPr>
          <w:lang w:val="fr-FR"/>
        </w:rPr>
        <w:t>’</w:t>
      </w:r>
      <w:r w:rsidR="005F763C" w:rsidRPr="004618D5">
        <w:rPr>
          <w:lang w:val="fr-FR"/>
        </w:rPr>
        <w:t xml:space="preserve">État </w:t>
      </w:r>
      <w:r w:rsidR="006950EC" w:rsidRPr="004618D5">
        <w:rPr>
          <w:lang w:val="fr-FR"/>
        </w:rPr>
        <w:t>a enfreint le droit d</w:t>
      </w:r>
      <w:r w:rsidR="00400B06" w:rsidRPr="004618D5">
        <w:rPr>
          <w:lang w:val="fr-FR"/>
        </w:rPr>
        <w:t>es</w:t>
      </w:r>
      <w:r w:rsidR="006950EC" w:rsidRPr="004618D5">
        <w:rPr>
          <w:lang w:val="fr-FR"/>
        </w:rPr>
        <w:t xml:space="preserve"> requérant</w:t>
      </w:r>
      <w:r w:rsidR="00400B06" w:rsidRPr="004618D5">
        <w:rPr>
          <w:lang w:val="fr-FR"/>
        </w:rPr>
        <w:t>s</w:t>
      </w:r>
      <w:r w:rsidR="006950EC" w:rsidRPr="004618D5">
        <w:rPr>
          <w:lang w:val="fr-FR"/>
        </w:rPr>
        <w:t xml:space="preserve"> de ne pas subir de discrimination</w:t>
      </w:r>
      <w:r w:rsidR="00400B06" w:rsidRPr="004618D5">
        <w:rPr>
          <w:lang w:val="fr-FR"/>
        </w:rPr>
        <w:t xml:space="preserve"> fondée sur l</w:t>
      </w:r>
      <w:r w:rsidR="004618D5" w:rsidRPr="004618D5">
        <w:rPr>
          <w:lang w:val="fr-FR"/>
        </w:rPr>
        <w:t>’</w:t>
      </w:r>
      <w:r w:rsidR="00400B06" w:rsidRPr="004618D5">
        <w:rPr>
          <w:lang w:val="fr-FR"/>
        </w:rPr>
        <w:t>orientation sexuelle</w:t>
      </w:r>
      <w:r w:rsidR="006950EC" w:rsidRPr="004618D5">
        <w:rPr>
          <w:lang w:val="fr-FR"/>
        </w:rPr>
        <w:t xml:space="preserve"> dans la jouissance de </w:t>
      </w:r>
      <w:r w:rsidR="00400B06" w:rsidRPr="004618D5">
        <w:rPr>
          <w:lang w:val="fr-FR"/>
        </w:rPr>
        <w:t>leurs</w:t>
      </w:r>
      <w:r w:rsidR="006950EC" w:rsidRPr="004618D5">
        <w:rPr>
          <w:lang w:val="fr-FR"/>
        </w:rPr>
        <w:t xml:space="preserve"> droit</w:t>
      </w:r>
      <w:r w:rsidR="00400B06" w:rsidRPr="004618D5">
        <w:rPr>
          <w:lang w:val="fr-FR"/>
        </w:rPr>
        <w:t>s</w:t>
      </w:r>
      <w:r w:rsidR="006950EC" w:rsidRPr="004618D5">
        <w:rPr>
          <w:lang w:val="fr-FR"/>
        </w:rPr>
        <w:t xml:space="preserve"> au regard de l</w:t>
      </w:r>
      <w:r w:rsidR="004618D5" w:rsidRPr="004618D5">
        <w:rPr>
          <w:lang w:val="fr-FR"/>
        </w:rPr>
        <w:t>’</w:t>
      </w:r>
      <w:r w:rsidR="006950EC" w:rsidRPr="004618D5">
        <w:rPr>
          <w:lang w:val="fr-FR"/>
        </w:rPr>
        <w:t>article</w:t>
      </w:r>
      <w:r w:rsidR="005F763C" w:rsidRPr="004618D5">
        <w:rPr>
          <w:lang w:val="fr-FR"/>
        </w:rPr>
        <w:t> </w:t>
      </w:r>
      <w:r w:rsidR="00400B06" w:rsidRPr="004618D5">
        <w:rPr>
          <w:lang w:val="fr-FR"/>
        </w:rPr>
        <w:t>8</w:t>
      </w:r>
      <w:r w:rsidR="006950EC" w:rsidRPr="004618D5">
        <w:rPr>
          <w:lang w:val="fr-FR"/>
        </w:rPr>
        <w:t xml:space="preserve"> de la Convention.</w:t>
      </w:r>
    </w:p>
    <w:p w:rsidR="006A0012" w:rsidRPr="004618D5" w:rsidRDefault="006A761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99</w:t>
      </w:r>
      <w:r w:rsidRPr="004618D5">
        <w:rPr>
          <w:lang w:val="fr-FR"/>
        </w:rPr>
        <w:fldChar w:fldCharType="end"/>
      </w:r>
      <w:r w:rsidRPr="004618D5">
        <w:rPr>
          <w:lang w:val="fr-FR"/>
        </w:rPr>
        <w:t>.  </w:t>
      </w:r>
      <w:r w:rsidR="00400B06" w:rsidRPr="004618D5">
        <w:rPr>
          <w:lang w:val="fr-FR"/>
        </w:rPr>
        <w:t>Il s</w:t>
      </w:r>
      <w:r w:rsidR="004618D5" w:rsidRPr="004618D5">
        <w:rPr>
          <w:lang w:val="fr-FR"/>
        </w:rPr>
        <w:t>’</w:t>
      </w:r>
      <w:r w:rsidR="00400B06" w:rsidRPr="004618D5">
        <w:rPr>
          <w:lang w:val="fr-FR"/>
        </w:rPr>
        <w:t>ensuit</w:t>
      </w:r>
      <w:r w:rsidR="006950EC" w:rsidRPr="004618D5">
        <w:rPr>
          <w:lang w:val="fr-FR"/>
        </w:rPr>
        <w:t xml:space="preserve"> qu</w:t>
      </w:r>
      <w:r w:rsidR="004618D5" w:rsidRPr="004618D5">
        <w:rPr>
          <w:lang w:val="fr-FR"/>
        </w:rPr>
        <w:t>’</w:t>
      </w:r>
      <w:r w:rsidR="006950EC" w:rsidRPr="004618D5">
        <w:rPr>
          <w:lang w:val="fr-FR"/>
        </w:rPr>
        <w:t>il y a eu violation de l</w:t>
      </w:r>
      <w:r w:rsidR="004618D5" w:rsidRPr="004618D5">
        <w:rPr>
          <w:lang w:val="fr-FR"/>
        </w:rPr>
        <w:t>’</w:t>
      </w:r>
      <w:r w:rsidR="006950EC" w:rsidRPr="004618D5">
        <w:rPr>
          <w:lang w:val="fr-FR"/>
        </w:rPr>
        <w:t>article 14 de la Convention combiné avec l</w:t>
      </w:r>
      <w:r w:rsidR="004618D5" w:rsidRPr="004618D5">
        <w:rPr>
          <w:lang w:val="fr-FR"/>
        </w:rPr>
        <w:t>’</w:t>
      </w:r>
      <w:r w:rsidR="006950EC" w:rsidRPr="004618D5">
        <w:rPr>
          <w:lang w:val="fr-FR"/>
        </w:rPr>
        <w:t xml:space="preserve">article </w:t>
      </w:r>
      <w:r w:rsidR="00400B06" w:rsidRPr="004618D5">
        <w:rPr>
          <w:lang w:val="fr-FR"/>
        </w:rPr>
        <w:t>8</w:t>
      </w:r>
      <w:r w:rsidR="006950EC" w:rsidRPr="004618D5">
        <w:rPr>
          <w:lang w:val="fr-FR"/>
        </w:rPr>
        <w:t>.</w:t>
      </w:r>
    </w:p>
    <w:p w:rsidR="00C63406" w:rsidRPr="004618D5" w:rsidRDefault="00C63406" w:rsidP="004618D5">
      <w:pPr>
        <w:pStyle w:val="ECHRHeading1"/>
        <w:rPr>
          <w:lang w:val="fr-FR"/>
        </w:rPr>
      </w:pPr>
      <w:r w:rsidRPr="004618D5">
        <w:rPr>
          <w:lang w:val="fr-FR"/>
        </w:rPr>
        <w:lastRenderedPageBreak/>
        <w:t>II.  SUR LA VIOLATION ALLÉGUÉE DE L</w:t>
      </w:r>
      <w:r w:rsidR="004618D5" w:rsidRPr="004618D5">
        <w:rPr>
          <w:lang w:val="fr-FR"/>
        </w:rPr>
        <w:t>’</w:t>
      </w:r>
      <w:r w:rsidRPr="004618D5">
        <w:rPr>
          <w:lang w:val="fr-FR"/>
        </w:rPr>
        <w:t>ARTICLE 8</w:t>
      </w:r>
    </w:p>
    <w:p w:rsidR="00C63406" w:rsidRPr="004618D5" w:rsidRDefault="00C63406"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100</w:t>
      </w:r>
      <w:r w:rsidRPr="004618D5">
        <w:rPr>
          <w:lang w:val="fr-FR"/>
        </w:rPr>
        <w:fldChar w:fldCharType="end"/>
      </w:r>
      <w:r w:rsidRPr="004618D5">
        <w:rPr>
          <w:lang w:val="fr-FR"/>
        </w:rPr>
        <w:t xml:space="preserve">.  Dans une lettre du </w:t>
      </w:r>
      <w:r w:rsidR="00D100FC" w:rsidRPr="004618D5">
        <w:rPr>
          <w:lang w:val="fr-FR"/>
        </w:rPr>
        <w:t>26 août 2015, les requérants</w:t>
      </w:r>
      <w:r w:rsidR="00B6397F" w:rsidRPr="004618D5">
        <w:rPr>
          <w:lang w:val="fr-FR"/>
        </w:rPr>
        <w:t xml:space="preserve"> demandent à la Cour de conclure également à la violation de l</w:t>
      </w:r>
      <w:r w:rsidR="004618D5" w:rsidRPr="004618D5">
        <w:rPr>
          <w:lang w:val="fr-FR"/>
        </w:rPr>
        <w:t>’</w:t>
      </w:r>
      <w:r w:rsidR="00B6397F" w:rsidRPr="004618D5">
        <w:rPr>
          <w:lang w:val="fr-FR"/>
        </w:rPr>
        <w:t xml:space="preserve">article 8 de la Convention pris isolément </w:t>
      </w:r>
      <w:r w:rsidR="000A4588" w:rsidRPr="004618D5">
        <w:rPr>
          <w:lang w:val="fr-FR"/>
        </w:rPr>
        <w:t>en raison</w:t>
      </w:r>
      <w:r w:rsidR="00B6397F" w:rsidRPr="004618D5">
        <w:rPr>
          <w:lang w:val="fr-FR"/>
        </w:rPr>
        <w:t xml:space="preserve"> de l</w:t>
      </w:r>
      <w:r w:rsidR="004618D5" w:rsidRPr="004618D5">
        <w:rPr>
          <w:lang w:val="fr-FR"/>
        </w:rPr>
        <w:t>’</w:t>
      </w:r>
      <w:r w:rsidR="00B6397F" w:rsidRPr="004618D5">
        <w:rPr>
          <w:lang w:val="fr-FR"/>
        </w:rPr>
        <w:t xml:space="preserve">absence, en Italie, de dispositions légales spécifiques </w:t>
      </w:r>
      <w:r w:rsidR="001D090E" w:rsidRPr="004618D5">
        <w:rPr>
          <w:lang w:val="fr-FR"/>
        </w:rPr>
        <w:t xml:space="preserve">en faveur de </w:t>
      </w:r>
      <w:r w:rsidR="00B6397F" w:rsidRPr="004618D5">
        <w:rPr>
          <w:lang w:val="fr-FR"/>
        </w:rPr>
        <w:t xml:space="preserve">la reconnaissance et </w:t>
      </w:r>
      <w:r w:rsidR="001D090E" w:rsidRPr="004618D5">
        <w:rPr>
          <w:lang w:val="fr-FR"/>
        </w:rPr>
        <w:t xml:space="preserve">de </w:t>
      </w:r>
      <w:r w:rsidR="00B6397F" w:rsidRPr="004618D5">
        <w:rPr>
          <w:lang w:val="fr-FR"/>
        </w:rPr>
        <w:t>la protection des unions entre personnes d</w:t>
      </w:r>
      <w:r w:rsidR="002A0F29" w:rsidRPr="004618D5">
        <w:rPr>
          <w:lang w:val="fr-FR"/>
        </w:rPr>
        <w:t>e</w:t>
      </w:r>
      <w:r w:rsidR="00B6397F" w:rsidRPr="004618D5">
        <w:rPr>
          <w:lang w:val="fr-FR"/>
        </w:rPr>
        <w:t xml:space="preserve"> même sexe. Ils</w:t>
      </w:r>
      <w:r w:rsidR="00D100FC" w:rsidRPr="004618D5">
        <w:rPr>
          <w:lang w:val="fr-FR"/>
        </w:rPr>
        <w:t xml:space="preserve"> </w:t>
      </w:r>
      <w:r w:rsidR="00B6397F" w:rsidRPr="004618D5">
        <w:rPr>
          <w:lang w:val="fr-FR"/>
        </w:rPr>
        <w:t>invoquent les principes énoncés dans l</w:t>
      </w:r>
      <w:r w:rsidR="004618D5" w:rsidRPr="004618D5">
        <w:rPr>
          <w:lang w:val="fr-FR"/>
        </w:rPr>
        <w:t>’</w:t>
      </w:r>
      <w:r w:rsidR="00B6397F" w:rsidRPr="004618D5">
        <w:rPr>
          <w:lang w:val="fr-FR"/>
        </w:rPr>
        <w:t>arrêt</w:t>
      </w:r>
      <w:r w:rsidR="00D100FC" w:rsidRPr="004618D5">
        <w:rPr>
          <w:lang w:val="fr-FR"/>
        </w:rPr>
        <w:t xml:space="preserve"> </w:t>
      </w:r>
      <w:r w:rsidR="00D100FC" w:rsidRPr="004618D5">
        <w:rPr>
          <w:i/>
          <w:lang w:val="fr-FR"/>
        </w:rPr>
        <w:t>Oliari et autres</w:t>
      </w:r>
      <w:r w:rsidR="00D100FC" w:rsidRPr="004618D5">
        <w:rPr>
          <w:lang w:val="fr-FR"/>
        </w:rPr>
        <w:t xml:space="preserve"> </w:t>
      </w:r>
      <w:r w:rsidR="000A4588" w:rsidRPr="004618D5">
        <w:rPr>
          <w:lang w:val="fr-FR"/>
        </w:rPr>
        <w:t>(</w:t>
      </w:r>
      <w:r w:rsidR="00D100FC" w:rsidRPr="004618D5">
        <w:rPr>
          <w:lang w:val="fr-FR"/>
        </w:rPr>
        <w:t>précité</w:t>
      </w:r>
      <w:r w:rsidR="000A4588" w:rsidRPr="004618D5">
        <w:rPr>
          <w:lang w:val="fr-FR"/>
        </w:rPr>
        <w:t>)</w:t>
      </w:r>
      <w:r w:rsidR="00B6397F" w:rsidRPr="004618D5">
        <w:rPr>
          <w:lang w:val="fr-FR"/>
        </w:rPr>
        <w:t>.</w:t>
      </w:r>
    </w:p>
    <w:p w:rsidR="0011200D" w:rsidRPr="004618D5" w:rsidRDefault="002450C6" w:rsidP="004618D5">
      <w:pPr>
        <w:pStyle w:val="ECHRPara"/>
        <w:rPr>
          <w:b/>
          <w:bCs/>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101</w:t>
      </w:r>
      <w:r w:rsidRPr="004618D5">
        <w:rPr>
          <w:lang w:val="fr-FR"/>
        </w:rPr>
        <w:fldChar w:fldCharType="end"/>
      </w:r>
      <w:r w:rsidRPr="004618D5">
        <w:rPr>
          <w:lang w:val="fr-FR"/>
        </w:rPr>
        <w:t xml:space="preserve">.  La Cour </w:t>
      </w:r>
      <w:r w:rsidR="001D090E" w:rsidRPr="004618D5">
        <w:rPr>
          <w:lang w:val="fr-FR"/>
        </w:rPr>
        <w:t xml:space="preserve">note </w:t>
      </w:r>
      <w:r w:rsidRPr="004618D5">
        <w:rPr>
          <w:lang w:val="fr-FR"/>
        </w:rPr>
        <w:t>que ce grief n</w:t>
      </w:r>
      <w:r w:rsidR="004618D5" w:rsidRPr="004618D5">
        <w:rPr>
          <w:lang w:val="fr-FR"/>
        </w:rPr>
        <w:t>’</w:t>
      </w:r>
      <w:r w:rsidRPr="004618D5">
        <w:rPr>
          <w:lang w:val="fr-FR"/>
        </w:rPr>
        <w:t xml:space="preserve">a pas été soulevé dans le formulaire de requête et </w:t>
      </w:r>
      <w:r w:rsidR="00F87586" w:rsidRPr="004618D5">
        <w:rPr>
          <w:lang w:val="fr-FR"/>
        </w:rPr>
        <w:t>qu</w:t>
      </w:r>
      <w:r w:rsidR="004618D5" w:rsidRPr="004618D5">
        <w:rPr>
          <w:lang w:val="fr-FR"/>
        </w:rPr>
        <w:t>’</w:t>
      </w:r>
      <w:r w:rsidR="00F87586" w:rsidRPr="004618D5">
        <w:rPr>
          <w:lang w:val="fr-FR"/>
        </w:rPr>
        <w:t xml:space="preserve">il </w:t>
      </w:r>
      <w:r w:rsidRPr="004618D5">
        <w:rPr>
          <w:lang w:val="fr-FR"/>
        </w:rPr>
        <w:t>n</w:t>
      </w:r>
      <w:r w:rsidR="004618D5" w:rsidRPr="004618D5">
        <w:rPr>
          <w:lang w:val="fr-FR"/>
        </w:rPr>
        <w:t>’</w:t>
      </w:r>
      <w:r w:rsidRPr="004618D5">
        <w:rPr>
          <w:lang w:val="fr-FR"/>
        </w:rPr>
        <w:t xml:space="preserve">a pas été </w:t>
      </w:r>
      <w:r w:rsidR="00A17939" w:rsidRPr="004618D5">
        <w:rPr>
          <w:lang w:val="fr-FR"/>
        </w:rPr>
        <w:t>porté à la connaissance du Gouvernement</w:t>
      </w:r>
      <w:r w:rsidRPr="004618D5">
        <w:rPr>
          <w:lang w:val="fr-FR"/>
        </w:rPr>
        <w:t xml:space="preserve">. </w:t>
      </w:r>
      <w:r w:rsidR="005D4FE2" w:rsidRPr="004618D5">
        <w:rPr>
          <w:lang w:val="fr-FR"/>
        </w:rPr>
        <w:t xml:space="preserve">Elle </w:t>
      </w:r>
      <w:r w:rsidR="001D090E" w:rsidRPr="004618D5">
        <w:rPr>
          <w:lang w:val="fr-FR"/>
        </w:rPr>
        <w:t>relève</w:t>
      </w:r>
      <w:r w:rsidR="005D4FE2" w:rsidRPr="004618D5">
        <w:rPr>
          <w:lang w:val="fr-FR"/>
        </w:rPr>
        <w:t xml:space="preserve"> que, p</w:t>
      </w:r>
      <w:r w:rsidRPr="004618D5">
        <w:rPr>
          <w:lang w:val="fr-FR"/>
        </w:rPr>
        <w:t>ar ailleurs, la question de l</w:t>
      </w:r>
      <w:r w:rsidR="004618D5" w:rsidRPr="004618D5">
        <w:rPr>
          <w:lang w:val="fr-FR"/>
        </w:rPr>
        <w:t>’</w:t>
      </w:r>
      <w:r w:rsidRPr="004618D5">
        <w:rPr>
          <w:lang w:val="fr-FR"/>
        </w:rPr>
        <w:t>absence, en Italie, d</w:t>
      </w:r>
      <w:r w:rsidR="004618D5" w:rsidRPr="004618D5">
        <w:rPr>
          <w:lang w:val="fr-FR"/>
        </w:rPr>
        <w:t>’</w:t>
      </w:r>
      <w:r w:rsidRPr="004618D5">
        <w:rPr>
          <w:lang w:val="fr-FR"/>
        </w:rPr>
        <w:t xml:space="preserve">une forme de </w:t>
      </w:r>
      <w:r w:rsidR="00B6397F" w:rsidRPr="004618D5">
        <w:rPr>
          <w:lang w:val="fr-FR"/>
        </w:rPr>
        <w:t xml:space="preserve">reconnaissance juridique des </w:t>
      </w:r>
      <w:r w:rsidRPr="004618D5">
        <w:rPr>
          <w:lang w:val="fr-FR"/>
        </w:rPr>
        <w:t>couples homosexuels n</w:t>
      </w:r>
      <w:r w:rsidR="004618D5" w:rsidRPr="004618D5">
        <w:rPr>
          <w:lang w:val="fr-FR"/>
        </w:rPr>
        <w:t>’</w:t>
      </w:r>
      <w:r w:rsidRPr="004618D5">
        <w:rPr>
          <w:lang w:val="fr-FR"/>
        </w:rPr>
        <w:t>a été évoqué</w:t>
      </w:r>
      <w:r w:rsidR="00B6397F" w:rsidRPr="004618D5">
        <w:rPr>
          <w:lang w:val="fr-FR"/>
        </w:rPr>
        <w:t>e</w:t>
      </w:r>
      <w:r w:rsidRPr="004618D5">
        <w:rPr>
          <w:lang w:val="fr-FR"/>
        </w:rPr>
        <w:t xml:space="preserve"> par les requérants que dans une communication non sollicitée postérieure à l</w:t>
      </w:r>
      <w:r w:rsidR="004618D5" w:rsidRPr="004618D5">
        <w:rPr>
          <w:lang w:val="fr-FR"/>
        </w:rPr>
        <w:t>’</w:t>
      </w:r>
      <w:r w:rsidRPr="004618D5">
        <w:rPr>
          <w:lang w:val="fr-FR"/>
        </w:rPr>
        <w:t>échange d</w:t>
      </w:r>
      <w:r w:rsidR="004618D5" w:rsidRPr="004618D5">
        <w:rPr>
          <w:lang w:val="fr-FR"/>
        </w:rPr>
        <w:t>’</w:t>
      </w:r>
      <w:r w:rsidRPr="004618D5">
        <w:rPr>
          <w:lang w:val="fr-FR"/>
        </w:rPr>
        <w:t>observations entre les parties, alors que</w:t>
      </w:r>
      <w:r w:rsidR="000A4588" w:rsidRPr="004618D5">
        <w:rPr>
          <w:lang w:val="fr-FR"/>
        </w:rPr>
        <w:t>,</w:t>
      </w:r>
      <w:r w:rsidRPr="004618D5">
        <w:rPr>
          <w:lang w:val="fr-FR"/>
        </w:rPr>
        <w:t xml:space="preserve"> dans leur mémoire </w:t>
      </w:r>
      <w:r w:rsidR="00595E14" w:rsidRPr="004618D5">
        <w:rPr>
          <w:lang w:val="fr-FR"/>
        </w:rPr>
        <w:t>devant la chambre</w:t>
      </w:r>
      <w:r w:rsidR="000A4588" w:rsidRPr="004618D5">
        <w:rPr>
          <w:lang w:val="fr-FR"/>
        </w:rPr>
        <w:t>,</w:t>
      </w:r>
      <w:r w:rsidR="00595E14" w:rsidRPr="004618D5">
        <w:rPr>
          <w:lang w:val="fr-FR"/>
        </w:rPr>
        <w:t xml:space="preserve"> </w:t>
      </w:r>
      <w:r w:rsidRPr="004618D5">
        <w:rPr>
          <w:lang w:val="fr-FR"/>
        </w:rPr>
        <w:t>les intéressé</w:t>
      </w:r>
      <w:r w:rsidR="00B6397F" w:rsidRPr="004618D5">
        <w:rPr>
          <w:lang w:val="fr-FR"/>
        </w:rPr>
        <w:t>s</w:t>
      </w:r>
      <w:r w:rsidRPr="004618D5">
        <w:rPr>
          <w:lang w:val="fr-FR"/>
        </w:rPr>
        <w:t xml:space="preserve"> avaient</w:t>
      </w:r>
      <w:r w:rsidR="00595E14" w:rsidRPr="004618D5">
        <w:rPr>
          <w:lang w:val="fr-FR"/>
        </w:rPr>
        <w:t xml:space="preserve"> explicitement</w:t>
      </w:r>
      <w:r w:rsidRPr="004618D5">
        <w:rPr>
          <w:lang w:val="fr-FR"/>
        </w:rPr>
        <w:t xml:space="preserve"> affirmé</w:t>
      </w:r>
      <w:r w:rsidR="00595E14" w:rsidRPr="004618D5">
        <w:rPr>
          <w:lang w:val="fr-FR"/>
        </w:rPr>
        <w:t xml:space="preserve"> que le but de leur requête n</w:t>
      </w:r>
      <w:r w:rsidR="004618D5" w:rsidRPr="004618D5">
        <w:rPr>
          <w:lang w:val="fr-FR"/>
        </w:rPr>
        <w:t>’</w:t>
      </w:r>
      <w:r w:rsidR="00595E14" w:rsidRPr="004618D5">
        <w:rPr>
          <w:lang w:val="fr-FR"/>
        </w:rPr>
        <w:t>était pas d</w:t>
      </w:r>
      <w:r w:rsidR="004618D5" w:rsidRPr="004618D5">
        <w:rPr>
          <w:lang w:val="fr-FR"/>
        </w:rPr>
        <w:t>’</w:t>
      </w:r>
      <w:r w:rsidR="00595E14" w:rsidRPr="004618D5">
        <w:rPr>
          <w:lang w:val="fr-FR"/>
        </w:rPr>
        <w:t>obtenir l</w:t>
      </w:r>
      <w:r w:rsidR="004618D5" w:rsidRPr="004618D5">
        <w:rPr>
          <w:lang w:val="fr-FR"/>
        </w:rPr>
        <w:t>’</w:t>
      </w:r>
      <w:r w:rsidR="00595E14" w:rsidRPr="004618D5">
        <w:rPr>
          <w:lang w:val="fr-FR"/>
        </w:rPr>
        <w:t>accès à une forme de partenariat enregistré</w:t>
      </w:r>
      <w:r w:rsidRPr="004618D5">
        <w:rPr>
          <w:lang w:val="fr-FR"/>
        </w:rPr>
        <w:t xml:space="preserve"> (paragraphe </w:t>
      </w:r>
      <w:r w:rsidR="003C71B5" w:rsidRPr="004618D5">
        <w:rPr>
          <w:lang w:val="fr-FR"/>
        </w:rPr>
        <w:t>73</w:t>
      </w:r>
      <w:r w:rsidRPr="004618D5">
        <w:rPr>
          <w:lang w:val="fr-FR"/>
        </w:rPr>
        <w:t xml:space="preserve"> ci-dessus). </w:t>
      </w:r>
      <w:r w:rsidR="00A17939" w:rsidRPr="004618D5">
        <w:rPr>
          <w:lang w:val="fr-FR"/>
        </w:rPr>
        <w:t>De plus</w:t>
      </w:r>
      <w:r w:rsidR="00B6397F" w:rsidRPr="004618D5">
        <w:rPr>
          <w:lang w:val="fr-FR"/>
        </w:rPr>
        <w:t xml:space="preserve">, </w:t>
      </w:r>
      <w:r w:rsidR="005D4FE2" w:rsidRPr="004618D5">
        <w:rPr>
          <w:lang w:val="fr-FR"/>
        </w:rPr>
        <w:t xml:space="preserve">elle </w:t>
      </w:r>
      <w:r w:rsidR="001D090E" w:rsidRPr="004618D5">
        <w:rPr>
          <w:lang w:val="fr-FR"/>
        </w:rPr>
        <w:t>observe</w:t>
      </w:r>
      <w:r w:rsidR="005D4FE2" w:rsidRPr="004618D5">
        <w:rPr>
          <w:lang w:val="fr-FR"/>
        </w:rPr>
        <w:t xml:space="preserve"> que, </w:t>
      </w:r>
      <w:r w:rsidR="00A17939" w:rsidRPr="004618D5">
        <w:rPr>
          <w:lang w:val="fr-FR"/>
        </w:rPr>
        <w:t>lorsqu</w:t>
      </w:r>
      <w:r w:rsidR="004618D5" w:rsidRPr="004618D5">
        <w:rPr>
          <w:lang w:val="fr-FR"/>
        </w:rPr>
        <w:t>’</w:t>
      </w:r>
      <w:r w:rsidR="00A17939" w:rsidRPr="004618D5">
        <w:rPr>
          <w:lang w:val="fr-FR"/>
        </w:rPr>
        <w:t>ils</w:t>
      </w:r>
      <w:r w:rsidR="00B6397F" w:rsidRPr="004618D5">
        <w:rPr>
          <w:lang w:val="fr-FR"/>
        </w:rPr>
        <w:t xml:space="preserve"> ont soulevé ce nouveau grief (</w:t>
      </w:r>
      <w:r w:rsidR="005D4FE2" w:rsidRPr="004618D5">
        <w:rPr>
          <w:lang w:val="fr-FR"/>
        </w:rPr>
        <w:t xml:space="preserve">le </w:t>
      </w:r>
      <w:r w:rsidR="00B6397F" w:rsidRPr="004618D5">
        <w:rPr>
          <w:lang w:val="fr-FR"/>
        </w:rPr>
        <w:t xml:space="preserve">26 août 2015), les requérants ne résidaient plus en Italie </w:t>
      </w:r>
      <w:r w:rsidR="00A17939" w:rsidRPr="004618D5">
        <w:rPr>
          <w:lang w:val="fr-FR"/>
        </w:rPr>
        <w:t>depuis environ six ans et</w:t>
      </w:r>
      <w:r w:rsidR="000A4588" w:rsidRPr="004618D5">
        <w:rPr>
          <w:lang w:val="fr-FR"/>
        </w:rPr>
        <w:t xml:space="preserve"> que</w:t>
      </w:r>
      <w:r w:rsidR="00A17939" w:rsidRPr="004618D5">
        <w:rPr>
          <w:lang w:val="fr-FR"/>
        </w:rPr>
        <w:t>, s</w:t>
      </w:r>
      <w:r w:rsidR="004618D5" w:rsidRPr="004618D5">
        <w:rPr>
          <w:lang w:val="fr-FR"/>
        </w:rPr>
        <w:t>’</w:t>
      </w:r>
      <w:r w:rsidR="00A17939" w:rsidRPr="004618D5">
        <w:rPr>
          <w:lang w:val="fr-FR"/>
        </w:rPr>
        <w:t>étant mariés à Amsterdam</w:t>
      </w:r>
      <w:r w:rsidR="004618D5" w:rsidRPr="004618D5">
        <w:rPr>
          <w:lang w:val="fr-FR"/>
        </w:rPr>
        <w:t xml:space="preserve"> le 8 </w:t>
      </w:r>
      <w:r w:rsidR="0011200D" w:rsidRPr="004618D5">
        <w:rPr>
          <w:lang w:val="fr-FR"/>
        </w:rPr>
        <w:t>mai 2010</w:t>
      </w:r>
      <w:r w:rsidR="00A17939" w:rsidRPr="004618D5">
        <w:rPr>
          <w:lang w:val="fr-FR"/>
        </w:rPr>
        <w:t xml:space="preserve">, </w:t>
      </w:r>
      <w:r w:rsidR="000A4588" w:rsidRPr="004618D5">
        <w:rPr>
          <w:lang w:val="fr-FR"/>
        </w:rPr>
        <w:t xml:space="preserve">ils </w:t>
      </w:r>
      <w:r w:rsidR="00A17939" w:rsidRPr="004618D5">
        <w:rPr>
          <w:lang w:val="fr-FR"/>
        </w:rPr>
        <w:t>avaient obtenu, dans leur pays de résidence, une reconnaissance juridique de leur relation depuis plus de cinq</w:t>
      </w:r>
      <w:r w:rsidR="004618D5" w:rsidRPr="004618D5">
        <w:rPr>
          <w:lang w:val="fr-FR"/>
        </w:rPr>
        <w:t xml:space="preserve"> ans et trois mois (paragraphes </w:t>
      </w:r>
      <w:r w:rsidR="003C71B5" w:rsidRPr="004618D5">
        <w:rPr>
          <w:lang w:val="fr-FR"/>
        </w:rPr>
        <w:t>24</w:t>
      </w:r>
      <w:r w:rsidR="00A17939" w:rsidRPr="004618D5">
        <w:rPr>
          <w:lang w:val="fr-FR"/>
        </w:rPr>
        <w:t>-</w:t>
      </w:r>
      <w:r w:rsidR="003C71B5" w:rsidRPr="004618D5">
        <w:rPr>
          <w:lang w:val="fr-FR"/>
        </w:rPr>
        <w:t>25</w:t>
      </w:r>
      <w:r w:rsidR="00A17939" w:rsidRPr="004618D5">
        <w:rPr>
          <w:lang w:val="fr-FR"/>
        </w:rPr>
        <w:t xml:space="preserve"> ci-dessus). </w:t>
      </w:r>
      <w:r w:rsidR="0011200D" w:rsidRPr="004618D5">
        <w:rPr>
          <w:bCs/>
          <w:lang w:val="fr-FR"/>
        </w:rPr>
        <w:t>Dans ces circonstances, la Cour estime qu</w:t>
      </w:r>
      <w:r w:rsidR="004618D5" w:rsidRPr="004618D5">
        <w:rPr>
          <w:bCs/>
          <w:lang w:val="fr-FR"/>
        </w:rPr>
        <w:t>’</w:t>
      </w:r>
      <w:r w:rsidR="0011200D" w:rsidRPr="004618D5">
        <w:rPr>
          <w:bCs/>
          <w:lang w:val="fr-FR"/>
        </w:rPr>
        <w:t>au plus tard à partir de la date de leur mariage aux Pays-Bas, les requérants ont cessé d</w:t>
      </w:r>
      <w:r w:rsidR="004618D5" w:rsidRPr="004618D5">
        <w:rPr>
          <w:bCs/>
          <w:lang w:val="fr-FR"/>
        </w:rPr>
        <w:t>’</w:t>
      </w:r>
      <w:r w:rsidR="0011200D" w:rsidRPr="004618D5">
        <w:rPr>
          <w:bCs/>
          <w:lang w:val="fr-FR"/>
        </w:rPr>
        <w:t>être affectés par la situation qu</w:t>
      </w:r>
      <w:r w:rsidR="004618D5" w:rsidRPr="004618D5">
        <w:rPr>
          <w:bCs/>
          <w:lang w:val="fr-FR"/>
        </w:rPr>
        <w:t>’</w:t>
      </w:r>
      <w:r w:rsidR="0011200D" w:rsidRPr="004618D5">
        <w:rPr>
          <w:bCs/>
          <w:lang w:val="fr-FR"/>
        </w:rPr>
        <w:t>ils dénoncent, à savoir l</w:t>
      </w:r>
      <w:r w:rsidR="004618D5" w:rsidRPr="004618D5">
        <w:rPr>
          <w:bCs/>
          <w:lang w:val="fr-FR"/>
        </w:rPr>
        <w:t>’</w:t>
      </w:r>
      <w:r w:rsidR="0011200D" w:rsidRPr="004618D5">
        <w:rPr>
          <w:bCs/>
          <w:lang w:val="fr-FR"/>
        </w:rPr>
        <w:t>absence, en Italie, d</w:t>
      </w:r>
      <w:r w:rsidR="004618D5" w:rsidRPr="004618D5">
        <w:rPr>
          <w:bCs/>
          <w:lang w:val="fr-FR"/>
        </w:rPr>
        <w:t>’</w:t>
      </w:r>
      <w:r w:rsidR="0011200D" w:rsidRPr="004618D5">
        <w:rPr>
          <w:bCs/>
          <w:lang w:val="fr-FR"/>
        </w:rPr>
        <w:t>une forme de reconnaissance légale des unions entre personnes de même sexe.</w:t>
      </w:r>
    </w:p>
    <w:p w:rsidR="002450C6" w:rsidRPr="004618D5" w:rsidRDefault="00400B06"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102</w:t>
      </w:r>
      <w:r w:rsidRPr="004618D5">
        <w:rPr>
          <w:lang w:val="fr-FR"/>
        </w:rPr>
        <w:fldChar w:fldCharType="end"/>
      </w:r>
      <w:r w:rsidRPr="004618D5">
        <w:rPr>
          <w:lang w:val="fr-FR"/>
        </w:rPr>
        <w:t>.  </w:t>
      </w:r>
      <w:r w:rsidR="0011200D" w:rsidRPr="004618D5">
        <w:rPr>
          <w:bCs/>
          <w:lang w:val="fr-FR"/>
        </w:rPr>
        <w:t>Il s</w:t>
      </w:r>
      <w:r w:rsidR="004618D5" w:rsidRPr="004618D5">
        <w:rPr>
          <w:bCs/>
          <w:lang w:val="fr-FR"/>
        </w:rPr>
        <w:t>’</w:t>
      </w:r>
      <w:r w:rsidR="0011200D" w:rsidRPr="004618D5">
        <w:rPr>
          <w:bCs/>
          <w:lang w:val="fr-FR"/>
        </w:rPr>
        <w:t>ensuit que ce grief est tardif et doit être rejeté en application de l</w:t>
      </w:r>
      <w:r w:rsidR="004618D5" w:rsidRPr="004618D5">
        <w:rPr>
          <w:bCs/>
          <w:lang w:val="fr-FR"/>
        </w:rPr>
        <w:t>’</w:t>
      </w:r>
      <w:r w:rsidR="0011200D" w:rsidRPr="004618D5">
        <w:rPr>
          <w:bCs/>
          <w:lang w:val="fr-FR"/>
        </w:rPr>
        <w:t>article 35 §§ 1 et 4 de la Convention.</w:t>
      </w:r>
    </w:p>
    <w:p w:rsidR="00E77CB3" w:rsidRPr="004618D5" w:rsidRDefault="005D2411" w:rsidP="004618D5">
      <w:pPr>
        <w:pStyle w:val="ECHRHeading1"/>
        <w:rPr>
          <w:lang w:val="fr-FR"/>
        </w:rPr>
      </w:pPr>
      <w:r w:rsidRPr="004618D5">
        <w:rPr>
          <w:lang w:val="fr-FR"/>
        </w:rPr>
        <w:t>II</w:t>
      </w:r>
      <w:r w:rsidR="00C63406" w:rsidRPr="004618D5">
        <w:rPr>
          <w:lang w:val="fr-FR"/>
        </w:rPr>
        <w:t>I</w:t>
      </w:r>
      <w:r w:rsidR="00E77CB3" w:rsidRPr="004618D5">
        <w:rPr>
          <w:lang w:val="fr-FR"/>
        </w:rPr>
        <w:t>.  SUR L</w:t>
      </w:r>
      <w:r w:rsidR="004618D5" w:rsidRPr="004618D5">
        <w:rPr>
          <w:lang w:val="fr-FR"/>
        </w:rPr>
        <w:t>’</w:t>
      </w:r>
      <w:r w:rsidR="00E77CB3" w:rsidRPr="004618D5">
        <w:rPr>
          <w:lang w:val="fr-FR"/>
        </w:rPr>
        <w:t>APPLICATION DE L</w:t>
      </w:r>
      <w:r w:rsidR="004618D5" w:rsidRPr="004618D5">
        <w:rPr>
          <w:lang w:val="fr-FR"/>
        </w:rPr>
        <w:t>’</w:t>
      </w:r>
      <w:r w:rsidR="00E77CB3" w:rsidRPr="004618D5">
        <w:rPr>
          <w:lang w:val="fr-FR"/>
        </w:rPr>
        <w:t>ARTICLE 41 DE LA CONVENTION</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103</w:t>
      </w:r>
      <w:r w:rsidRPr="004618D5">
        <w:rPr>
          <w:lang w:val="fr-FR"/>
        </w:rPr>
        <w:fldChar w:fldCharType="end"/>
      </w:r>
      <w:r w:rsidR="00E77CB3" w:rsidRPr="004618D5">
        <w:rPr>
          <w:lang w:val="fr-FR"/>
        </w:rPr>
        <w:t>.  Aux termes de l</w:t>
      </w:r>
      <w:r w:rsidR="004618D5" w:rsidRPr="004618D5">
        <w:rPr>
          <w:lang w:val="fr-FR"/>
        </w:rPr>
        <w:t>’</w:t>
      </w:r>
      <w:r w:rsidR="00E77CB3" w:rsidRPr="004618D5">
        <w:rPr>
          <w:lang w:val="fr-FR"/>
        </w:rPr>
        <w:t>article 41 de la Convention,</w:t>
      </w:r>
    </w:p>
    <w:p w:rsidR="00E77CB3" w:rsidRPr="004618D5" w:rsidRDefault="00E77CB3" w:rsidP="004618D5">
      <w:pPr>
        <w:pStyle w:val="ECHRParaQuote"/>
        <w:rPr>
          <w:lang w:val="fr-FR"/>
        </w:rPr>
      </w:pPr>
      <w:r w:rsidRPr="004618D5">
        <w:rPr>
          <w:lang w:val="fr-FR"/>
        </w:rPr>
        <w:t>« Si la Cour déclare qu</w:t>
      </w:r>
      <w:r w:rsidR="004618D5" w:rsidRPr="004618D5">
        <w:rPr>
          <w:lang w:val="fr-FR"/>
        </w:rPr>
        <w:t>’</w:t>
      </w:r>
      <w:r w:rsidRPr="004618D5">
        <w:rPr>
          <w:lang w:val="fr-FR"/>
        </w:rPr>
        <w:t>il y a eu violation de la Convention ou de ses Protocoles, et si le droit interne de la Haute Partie contractante ne permet d</w:t>
      </w:r>
      <w:r w:rsidR="004618D5" w:rsidRPr="004618D5">
        <w:rPr>
          <w:lang w:val="fr-FR"/>
        </w:rPr>
        <w:t>’</w:t>
      </w:r>
      <w:r w:rsidRPr="004618D5">
        <w:rPr>
          <w:lang w:val="fr-FR"/>
        </w:rPr>
        <w:t>effacer qu</w:t>
      </w:r>
      <w:r w:rsidR="004618D5" w:rsidRPr="004618D5">
        <w:rPr>
          <w:lang w:val="fr-FR"/>
        </w:rPr>
        <w:t>’</w:t>
      </w:r>
      <w:r w:rsidRPr="004618D5">
        <w:rPr>
          <w:lang w:val="fr-FR"/>
        </w:rPr>
        <w:t>imparfaitement les conséquences de cette violation, la Cour accorde à la partie lésée, s</w:t>
      </w:r>
      <w:r w:rsidR="004618D5" w:rsidRPr="004618D5">
        <w:rPr>
          <w:lang w:val="fr-FR"/>
        </w:rPr>
        <w:t>’</w:t>
      </w:r>
      <w:r w:rsidRPr="004618D5">
        <w:rPr>
          <w:lang w:val="fr-FR"/>
        </w:rPr>
        <w:t>il y a lieu, une satisfaction équitable. »</w:t>
      </w:r>
    </w:p>
    <w:p w:rsidR="00E77CB3" w:rsidRPr="004618D5" w:rsidRDefault="00E77CB3" w:rsidP="004618D5">
      <w:pPr>
        <w:pStyle w:val="ECHRHeading2"/>
        <w:rPr>
          <w:lang w:val="fr-FR"/>
        </w:rPr>
      </w:pPr>
      <w:r w:rsidRPr="004618D5">
        <w:rPr>
          <w:lang w:val="fr-FR"/>
        </w:rPr>
        <w:t>A.  Dommage</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104</w:t>
      </w:r>
      <w:r w:rsidRPr="004618D5">
        <w:rPr>
          <w:lang w:val="fr-FR"/>
        </w:rPr>
        <w:fldChar w:fldCharType="end"/>
      </w:r>
      <w:r w:rsidR="00E77CB3" w:rsidRPr="004618D5">
        <w:rPr>
          <w:lang w:val="fr-FR"/>
        </w:rPr>
        <w:t>.  </w:t>
      </w:r>
      <w:r w:rsidR="00C7243A" w:rsidRPr="004618D5">
        <w:rPr>
          <w:lang w:val="fr-FR"/>
        </w:rPr>
        <w:t xml:space="preserve">Les requérants réclament 20 000 euros (EUR) </w:t>
      </w:r>
      <w:r w:rsidR="000A4588" w:rsidRPr="004618D5">
        <w:rPr>
          <w:lang w:val="fr-FR"/>
        </w:rPr>
        <w:t>pour</w:t>
      </w:r>
      <w:r w:rsidR="00C7243A" w:rsidRPr="004618D5">
        <w:rPr>
          <w:lang w:val="fr-FR"/>
        </w:rPr>
        <w:t xml:space="preserve"> préjudice moral. Ils affirment que</w:t>
      </w:r>
      <w:r w:rsidR="005D4FE2" w:rsidRPr="004618D5">
        <w:rPr>
          <w:lang w:val="fr-FR"/>
        </w:rPr>
        <w:t>,</w:t>
      </w:r>
      <w:r w:rsidR="00C7243A" w:rsidRPr="004618D5">
        <w:rPr>
          <w:lang w:val="fr-FR"/>
        </w:rPr>
        <w:t xml:space="preserve"> depuis octobre 2004, les autorités italiennes ont nié l</w:t>
      </w:r>
      <w:r w:rsidR="004618D5" w:rsidRPr="004618D5">
        <w:rPr>
          <w:lang w:val="fr-FR"/>
        </w:rPr>
        <w:t>’</w:t>
      </w:r>
      <w:r w:rsidR="00C7243A" w:rsidRPr="004618D5">
        <w:rPr>
          <w:lang w:val="fr-FR"/>
        </w:rPr>
        <w:t xml:space="preserve">existence de la discrimination dont ils </w:t>
      </w:r>
      <w:r w:rsidR="001D090E" w:rsidRPr="004618D5">
        <w:rPr>
          <w:lang w:val="fr-FR"/>
        </w:rPr>
        <w:t>se disent</w:t>
      </w:r>
      <w:r w:rsidR="00C7243A" w:rsidRPr="004618D5">
        <w:rPr>
          <w:lang w:val="fr-FR"/>
        </w:rPr>
        <w:t xml:space="preserve"> victimes. </w:t>
      </w:r>
      <w:r w:rsidR="005D4FE2" w:rsidRPr="004618D5">
        <w:rPr>
          <w:lang w:val="fr-FR"/>
        </w:rPr>
        <w:t xml:space="preserve">Ils estiment avoir été </w:t>
      </w:r>
      <w:r w:rsidR="00C7243A" w:rsidRPr="004618D5">
        <w:rPr>
          <w:lang w:val="fr-FR"/>
        </w:rPr>
        <w:t xml:space="preserve">forcés </w:t>
      </w:r>
      <w:r w:rsidR="001D090E" w:rsidRPr="004618D5">
        <w:rPr>
          <w:lang w:val="fr-FR"/>
        </w:rPr>
        <w:t>de</w:t>
      </w:r>
      <w:r w:rsidR="00C7243A" w:rsidRPr="004618D5">
        <w:rPr>
          <w:lang w:val="fr-FR"/>
        </w:rPr>
        <w:t xml:space="preserve"> « s</w:t>
      </w:r>
      <w:r w:rsidR="004618D5" w:rsidRPr="004618D5">
        <w:rPr>
          <w:lang w:val="fr-FR"/>
        </w:rPr>
        <w:t>’</w:t>
      </w:r>
      <w:r w:rsidR="00C7243A" w:rsidRPr="004618D5">
        <w:rPr>
          <w:lang w:val="fr-FR"/>
        </w:rPr>
        <w:t>exiler » aux Pays-Bas</w:t>
      </w:r>
      <w:r w:rsidR="00284236" w:rsidRPr="004618D5">
        <w:rPr>
          <w:lang w:val="fr-FR"/>
        </w:rPr>
        <w:t xml:space="preserve"> en juillet </w:t>
      </w:r>
      <w:r w:rsidR="005D4FE2" w:rsidRPr="004618D5">
        <w:rPr>
          <w:lang w:val="fr-FR"/>
        </w:rPr>
        <w:t>2009</w:t>
      </w:r>
      <w:r w:rsidR="00C7243A" w:rsidRPr="004618D5">
        <w:rPr>
          <w:lang w:val="fr-FR"/>
        </w:rPr>
        <w:t>, loin de la famille du premier requérant.</w:t>
      </w:r>
      <w:r w:rsidR="00D100FC" w:rsidRPr="004618D5">
        <w:rPr>
          <w:lang w:val="fr-FR"/>
        </w:rPr>
        <w:t xml:space="preserve"> </w:t>
      </w:r>
      <w:r w:rsidR="00075E4D" w:rsidRPr="004618D5">
        <w:rPr>
          <w:lang w:val="fr-FR"/>
        </w:rPr>
        <w:t>D</w:t>
      </w:r>
      <w:r w:rsidR="00D100FC" w:rsidRPr="004618D5">
        <w:rPr>
          <w:lang w:val="fr-FR"/>
        </w:rPr>
        <w:t>ans une lettre du 26</w:t>
      </w:r>
      <w:r w:rsidR="00F87586" w:rsidRPr="004618D5">
        <w:rPr>
          <w:lang w:val="fr-FR"/>
        </w:rPr>
        <w:t> </w:t>
      </w:r>
      <w:r w:rsidR="00D100FC" w:rsidRPr="004618D5">
        <w:rPr>
          <w:lang w:val="fr-FR"/>
        </w:rPr>
        <w:t>août 2015</w:t>
      </w:r>
      <w:r w:rsidR="00075E4D" w:rsidRPr="004618D5">
        <w:rPr>
          <w:lang w:val="fr-FR"/>
        </w:rPr>
        <w:t xml:space="preserve"> (paragraphes</w:t>
      </w:r>
      <w:r w:rsidR="00D56F6F" w:rsidRPr="004618D5">
        <w:rPr>
          <w:lang w:val="fr-FR"/>
        </w:rPr>
        <w:t> </w:t>
      </w:r>
      <w:r w:rsidR="003C71B5" w:rsidRPr="004618D5">
        <w:rPr>
          <w:lang w:val="fr-FR"/>
        </w:rPr>
        <w:t>100</w:t>
      </w:r>
      <w:r w:rsidR="00075E4D" w:rsidRPr="004618D5">
        <w:rPr>
          <w:lang w:val="fr-FR"/>
        </w:rPr>
        <w:t>-</w:t>
      </w:r>
      <w:r w:rsidR="003C71B5" w:rsidRPr="004618D5">
        <w:rPr>
          <w:lang w:val="fr-FR"/>
        </w:rPr>
        <w:t>101</w:t>
      </w:r>
      <w:r w:rsidR="004618D5" w:rsidRPr="004618D5">
        <w:rPr>
          <w:lang w:val="fr-FR"/>
        </w:rPr>
        <w:t xml:space="preserve"> </w:t>
      </w:r>
      <w:r w:rsidR="004618D5" w:rsidRPr="004618D5">
        <w:rPr>
          <w:lang w:val="fr-FR"/>
        </w:rPr>
        <w:lastRenderedPageBreak/>
        <w:t>ci</w:t>
      </w:r>
      <w:r w:rsidR="004618D5" w:rsidRPr="004618D5">
        <w:rPr>
          <w:lang w:val="fr-FR"/>
        </w:rPr>
        <w:noBreakHyphen/>
      </w:r>
      <w:r w:rsidR="00075E4D" w:rsidRPr="004618D5">
        <w:rPr>
          <w:lang w:val="fr-FR"/>
        </w:rPr>
        <w:t>dessus)</w:t>
      </w:r>
      <w:r w:rsidR="00D100FC" w:rsidRPr="004618D5">
        <w:rPr>
          <w:lang w:val="fr-FR"/>
        </w:rPr>
        <w:t>, les requérants ont indiqué qu</w:t>
      </w:r>
      <w:r w:rsidR="004618D5" w:rsidRPr="004618D5">
        <w:rPr>
          <w:lang w:val="fr-FR"/>
        </w:rPr>
        <w:t>’</w:t>
      </w:r>
      <w:r w:rsidR="00D100FC" w:rsidRPr="004618D5">
        <w:rPr>
          <w:lang w:val="fr-FR"/>
        </w:rPr>
        <w:t xml:space="preserve">ils demandaient </w:t>
      </w:r>
      <w:r w:rsidR="001D090E" w:rsidRPr="004618D5">
        <w:rPr>
          <w:lang w:val="fr-FR"/>
        </w:rPr>
        <w:t xml:space="preserve">de plus </w:t>
      </w:r>
      <w:r w:rsidR="002204E5" w:rsidRPr="004618D5">
        <w:rPr>
          <w:lang w:val="fr-FR"/>
        </w:rPr>
        <w:t>la somme de 5 000 </w:t>
      </w:r>
      <w:r w:rsidR="00D100FC" w:rsidRPr="004618D5">
        <w:rPr>
          <w:lang w:val="fr-FR"/>
        </w:rPr>
        <w:t>EUR chacun pour le préjudice moral découlant de la violation alléguée de l</w:t>
      </w:r>
      <w:r w:rsidR="004618D5" w:rsidRPr="004618D5">
        <w:rPr>
          <w:lang w:val="fr-FR"/>
        </w:rPr>
        <w:t>’</w:t>
      </w:r>
      <w:r w:rsidR="00D100FC" w:rsidRPr="004618D5">
        <w:rPr>
          <w:lang w:val="fr-FR"/>
        </w:rPr>
        <w:t>article 8 de la Convention pris isol</w:t>
      </w:r>
      <w:r w:rsidR="005D4FE2" w:rsidRPr="004618D5">
        <w:rPr>
          <w:lang w:val="fr-FR"/>
        </w:rPr>
        <w:t>é</w:t>
      </w:r>
      <w:r w:rsidR="002D1871" w:rsidRPr="004618D5">
        <w:rPr>
          <w:lang w:val="fr-FR"/>
        </w:rPr>
        <w:t>ment.</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105</w:t>
      </w:r>
      <w:r w:rsidRPr="004618D5">
        <w:rPr>
          <w:lang w:val="fr-FR"/>
        </w:rPr>
        <w:fldChar w:fldCharType="end"/>
      </w:r>
      <w:r w:rsidR="00E77CB3" w:rsidRPr="004618D5">
        <w:rPr>
          <w:lang w:val="fr-FR"/>
        </w:rPr>
        <w:t xml:space="preserve">.  Le Gouvernement </w:t>
      </w:r>
      <w:r w:rsidR="002A2942" w:rsidRPr="004618D5">
        <w:rPr>
          <w:lang w:val="fr-FR"/>
        </w:rPr>
        <w:t>s</w:t>
      </w:r>
      <w:r w:rsidR="004618D5" w:rsidRPr="004618D5">
        <w:rPr>
          <w:lang w:val="fr-FR"/>
        </w:rPr>
        <w:t>’</w:t>
      </w:r>
      <w:r w:rsidR="005D4FE2" w:rsidRPr="004618D5">
        <w:rPr>
          <w:lang w:val="fr-FR"/>
        </w:rPr>
        <w:t>en</w:t>
      </w:r>
      <w:r w:rsidR="002A2942" w:rsidRPr="004618D5">
        <w:rPr>
          <w:lang w:val="fr-FR"/>
        </w:rPr>
        <w:t xml:space="preserve"> remet à la sagesse de la Cour.</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106</w:t>
      </w:r>
      <w:r w:rsidRPr="004618D5">
        <w:rPr>
          <w:lang w:val="fr-FR"/>
        </w:rPr>
        <w:fldChar w:fldCharType="end"/>
      </w:r>
      <w:r w:rsidR="00E77CB3" w:rsidRPr="004618D5">
        <w:rPr>
          <w:lang w:val="fr-FR"/>
        </w:rPr>
        <w:t>.  </w:t>
      </w:r>
      <w:r w:rsidR="00CD5482" w:rsidRPr="004618D5">
        <w:rPr>
          <w:lang w:val="fr-FR"/>
        </w:rPr>
        <w:t>Eu égard à sa pratique en la matière, la Cour</w:t>
      </w:r>
      <w:r w:rsidR="00CC7EDA" w:rsidRPr="004618D5">
        <w:rPr>
          <w:lang w:val="fr-FR"/>
        </w:rPr>
        <w:t xml:space="preserve"> </w:t>
      </w:r>
      <w:r w:rsidR="00E77CB3" w:rsidRPr="004618D5">
        <w:rPr>
          <w:lang w:val="fr-FR"/>
        </w:rPr>
        <w:t>considère qu</w:t>
      </w:r>
      <w:r w:rsidR="004618D5" w:rsidRPr="004618D5">
        <w:rPr>
          <w:lang w:val="fr-FR"/>
        </w:rPr>
        <w:t>’</w:t>
      </w:r>
      <w:r w:rsidR="00CC7EDA" w:rsidRPr="004618D5">
        <w:rPr>
          <w:lang w:val="fr-FR"/>
        </w:rPr>
        <w:t>il</w:t>
      </w:r>
      <w:r w:rsidR="00E77CB3" w:rsidRPr="004618D5">
        <w:rPr>
          <w:lang w:val="fr-FR"/>
        </w:rPr>
        <w:t xml:space="preserve"> y a lieu </w:t>
      </w:r>
      <w:r w:rsidR="00F87586" w:rsidRPr="004618D5">
        <w:rPr>
          <w:lang w:val="fr-FR"/>
        </w:rPr>
        <w:t>d</w:t>
      </w:r>
      <w:r w:rsidR="004618D5" w:rsidRPr="004618D5">
        <w:rPr>
          <w:lang w:val="fr-FR"/>
        </w:rPr>
        <w:t>’</w:t>
      </w:r>
      <w:r w:rsidR="00F87586" w:rsidRPr="004618D5">
        <w:rPr>
          <w:lang w:val="fr-FR"/>
        </w:rPr>
        <w:t xml:space="preserve">allouer </w:t>
      </w:r>
      <w:r w:rsidRPr="004618D5">
        <w:rPr>
          <w:lang w:val="fr-FR"/>
        </w:rPr>
        <w:t>aux requérants</w:t>
      </w:r>
      <w:r w:rsidR="00E77CB3" w:rsidRPr="004618D5">
        <w:rPr>
          <w:lang w:val="fr-FR"/>
        </w:rPr>
        <w:t xml:space="preserve"> </w:t>
      </w:r>
      <w:r w:rsidR="00CC7EDA" w:rsidRPr="004618D5">
        <w:rPr>
          <w:lang w:val="fr-FR"/>
        </w:rPr>
        <w:t>conjointement 20 000</w:t>
      </w:r>
      <w:r w:rsidR="00E77CB3" w:rsidRPr="004618D5">
        <w:rPr>
          <w:lang w:val="fr-FR"/>
        </w:rPr>
        <w:t xml:space="preserve"> EUR au titre du préjudice moral</w:t>
      </w:r>
      <w:r w:rsidR="00CC7EDA" w:rsidRPr="004618D5">
        <w:rPr>
          <w:lang w:val="fr-FR"/>
        </w:rPr>
        <w:t xml:space="preserve"> découlant de la violation </w:t>
      </w:r>
      <w:r w:rsidR="00CD5482" w:rsidRPr="004618D5">
        <w:rPr>
          <w:lang w:val="fr-FR"/>
        </w:rPr>
        <w:t xml:space="preserve">constatée </w:t>
      </w:r>
      <w:r w:rsidR="00CC7EDA" w:rsidRPr="004618D5">
        <w:rPr>
          <w:lang w:val="fr-FR"/>
        </w:rPr>
        <w:t>de l</w:t>
      </w:r>
      <w:r w:rsidR="004618D5" w:rsidRPr="004618D5">
        <w:rPr>
          <w:lang w:val="fr-FR"/>
        </w:rPr>
        <w:t>’</w:t>
      </w:r>
      <w:r w:rsidR="00CC7EDA" w:rsidRPr="004618D5">
        <w:rPr>
          <w:lang w:val="fr-FR"/>
        </w:rPr>
        <w:t>article 14 de la Convention combiné avec l</w:t>
      </w:r>
      <w:r w:rsidR="004618D5" w:rsidRPr="004618D5">
        <w:rPr>
          <w:lang w:val="fr-FR"/>
        </w:rPr>
        <w:t>’</w:t>
      </w:r>
      <w:r w:rsidR="00CC7EDA" w:rsidRPr="004618D5">
        <w:rPr>
          <w:lang w:val="fr-FR"/>
        </w:rPr>
        <w:t>article 8</w:t>
      </w:r>
      <w:r w:rsidR="00E77CB3" w:rsidRPr="004618D5">
        <w:rPr>
          <w:lang w:val="fr-FR"/>
        </w:rPr>
        <w:t>.</w:t>
      </w:r>
    </w:p>
    <w:p w:rsidR="00E77CB3" w:rsidRPr="004618D5" w:rsidRDefault="00E77CB3" w:rsidP="004618D5">
      <w:pPr>
        <w:pStyle w:val="ECHRHeading2"/>
        <w:rPr>
          <w:lang w:val="fr-FR"/>
        </w:rPr>
      </w:pPr>
      <w:r w:rsidRPr="004618D5">
        <w:rPr>
          <w:lang w:val="fr-FR"/>
        </w:rPr>
        <w:t>B.  Frais et dépens</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107</w:t>
      </w:r>
      <w:r w:rsidRPr="004618D5">
        <w:rPr>
          <w:lang w:val="fr-FR"/>
        </w:rPr>
        <w:fldChar w:fldCharType="end"/>
      </w:r>
      <w:r w:rsidR="00E77CB3" w:rsidRPr="004618D5">
        <w:rPr>
          <w:lang w:val="fr-FR"/>
        </w:rPr>
        <w:t>.  </w:t>
      </w:r>
      <w:r w:rsidRPr="004618D5">
        <w:rPr>
          <w:lang w:val="fr-FR"/>
        </w:rPr>
        <w:t>Les requérants</w:t>
      </w:r>
      <w:r w:rsidR="00E77CB3" w:rsidRPr="004618D5">
        <w:rPr>
          <w:lang w:val="fr-FR"/>
        </w:rPr>
        <w:t xml:space="preserve"> demande</w:t>
      </w:r>
      <w:r w:rsidRPr="004618D5">
        <w:rPr>
          <w:lang w:val="fr-FR"/>
        </w:rPr>
        <w:t>nt</w:t>
      </w:r>
      <w:r w:rsidR="00E77CB3" w:rsidRPr="004618D5">
        <w:rPr>
          <w:lang w:val="fr-FR"/>
        </w:rPr>
        <w:t xml:space="preserve"> </w:t>
      </w:r>
      <w:r w:rsidR="001D090E" w:rsidRPr="004618D5">
        <w:rPr>
          <w:lang w:val="fr-FR"/>
        </w:rPr>
        <w:t xml:space="preserve">en outre </w:t>
      </w:r>
      <w:r w:rsidR="00C7243A" w:rsidRPr="004618D5">
        <w:rPr>
          <w:lang w:val="fr-FR"/>
        </w:rPr>
        <w:t>10 924,58</w:t>
      </w:r>
      <w:r w:rsidR="00E77CB3" w:rsidRPr="004618D5">
        <w:rPr>
          <w:lang w:val="fr-FR"/>
        </w:rPr>
        <w:t xml:space="preserve"> EUR pour les frais et dépens engagés devant les juridictions internes et </w:t>
      </w:r>
      <w:r w:rsidR="00C7243A" w:rsidRPr="004618D5">
        <w:rPr>
          <w:lang w:val="fr-FR"/>
        </w:rPr>
        <w:t>8 000</w:t>
      </w:r>
      <w:r w:rsidR="00E77CB3" w:rsidRPr="004618D5">
        <w:rPr>
          <w:lang w:val="fr-FR"/>
        </w:rPr>
        <w:t xml:space="preserve"> EUR pour ceux engagés devant la Cour.</w:t>
      </w:r>
      <w:r w:rsidR="00C7243A" w:rsidRPr="004618D5">
        <w:rPr>
          <w:lang w:val="fr-FR"/>
        </w:rPr>
        <w:t xml:space="preserve"> </w:t>
      </w:r>
      <w:r w:rsidR="00C7243A" w:rsidRPr="004618D5">
        <w:rPr>
          <w:rFonts w:cstheme="minorHAnsi"/>
          <w:lang w:val="fr-FR"/>
        </w:rPr>
        <w:t>À cet</w:t>
      </w:r>
      <w:r w:rsidR="00C7243A" w:rsidRPr="004618D5">
        <w:rPr>
          <w:lang w:val="fr-FR"/>
        </w:rPr>
        <w:t xml:space="preserve"> égard, ils ont produit cinq notes de frais de l</w:t>
      </w:r>
      <w:r w:rsidR="004618D5" w:rsidRPr="004618D5">
        <w:rPr>
          <w:lang w:val="fr-FR"/>
        </w:rPr>
        <w:t>’</w:t>
      </w:r>
      <w:r w:rsidR="00C7243A" w:rsidRPr="004618D5">
        <w:rPr>
          <w:lang w:val="fr-FR"/>
        </w:rPr>
        <w:t>avocat qui les a représentés au niveau national (pour des montants de 2 413,78</w:t>
      </w:r>
      <w:r w:rsidR="00075E4D" w:rsidRPr="004618D5">
        <w:rPr>
          <w:lang w:val="fr-FR"/>
        </w:rPr>
        <w:t xml:space="preserve"> EUR</w:t>
      </w:r>
      <w:r w:rsidR="00C7243A" w:rsidRPr="004618D5">
        <w:rPr>
          <w:lang w:val="fr-FR"/>
        </w:rPr>
        <w:t>, 1</w:t>
      </w:r>
      <w:r w:rsidR="00075E4D" w:rsidRPr="004618D5">
        <w:rPr>
          <w:lang w:val="fr-FR"/>
        </w:rPr>
        <w:t> </w:t>
      </w:r>
      <w:r w:rsidR="00C7243A" w:rsidRPr="004618D5">
        <w:rPr>
          <w:lang w:val="fr-FR"/>
        </w:rPr>
        <w:t>836</w:t>
      </w:r>
      <w:r w:rsidR="00075E4D" w:rsidRPr="004618D5">
        <w:rPr>
          <w:lang w:val="fr-FR"/>
        </w:rPr>
        <w:t xml:space="preserve"> EUR</w:t>
      </w:r>
      <w:r w:rsidR="00C7243A" w:rsidRPr="004618D5">
        <w:rPr>
          <w:lang w:val="fr-FR"/>
        </w:rPr>
        <w:t>, 1</w:t>
      </w:r>
      <w:r w:rsidR="00075E4D" w:rsidRPr="004618D5">
        <w:rPr>
          <w:lang w:val="fr-FR"/>
        </w:rPr>
        <w:t> </w:t>
      </w:r>
      <w:r w:rsidR="00C7243A" w:rsidRPr="004618D5">
        <w:rPr>
          <w:lang w:val="fr-FR"/>
        </w:rPr>
        <w:t>836</w:t>
      </w:r>
      <w:r w:rsidR="00075E4D" w:rsidRPr="004618D5">
        <w:rPr>
          <w:lang w:val="fr-FR"/>
        </w:rPr>
        <w:t xml:space="preserve"> EUR</w:t>
      </w:r>
      <w:r w:rsidR="00C7243A" w:rsidRPr="004618D5">
        <w:rPr>
          <w:lang w:val="fr-FR"/>
        </w:rPr>
        <w:t>, 2</w:t>
      </w:r>
      <w:r w:rsidR="00075E4D" w:rsidRPr="004618D5">
        <w:rPr>
          <w:lang w:val="fr-FR"/>
        </w:rPr>
        <w:t> </w:t>
      </w:r>
      <w:r w:rsidR="00C7243A" w:rsidRPr="004618D5">
        <w:rPr>
          <w:lang w:val="fr-FR"/>
        </w:rPr>
        <w:t>360</w:t>
      </w:r>
      <w:r w:rsidR="00075E4D" w:rsidRPr="004618D5">
        <w:rPr>
          <w:lang w:val="fr-FR"/>
        </w:rPr>
        <w:t xml:space="preserve"> EUR</w:t>
      </w:r>
      <w:r w:rsidR="00C7243A" w:rsidRPr="004618D5">
        <w:rPr>
          <w:lang w:val="fr-FR"/>
        </w:rPr>
        <w:t xml:space="preserve"> et 2 478,80 EUR), et une lettre de leur représentant devant la Cour indiquant qu</w:t>
      </w:r>
      <w:r w:rsidR="00F576F8" w:rsidRPr="004618D5">
        <w:rPr>
          <w:lang w:val="fr-FR"/>
        </w:rPr>
        <w:t xml:space="preserve">e, </w:t>
      </w:r>
      <w:r w:rsidR="00C7243A" w:rsidRPr="004618D5">
        <w:rPr>
          <w:lang w:val="fr-FR"/>
        </w:rPr>
        <w:t>en cas d</w:t>
      </w:r>
      <w:r w:rsidR="004618D5" w:rsidRPr="004618D5">
        <w:rPr>
          <w:lang w:val="fr-FR"/>
        </w:rPr>
        <w:t>’</w:t>
      </w:r>
      <w:r w:rsidR="00C7243A" w:rsidRPr="004618D5">
        <w:rPr>
          <w:lang w:val="fr-FR"/>
        </w:rPr>
        <w:t xml:space="preserve">issue favorable de la procédure européenne, ils étaient </w:t>
      </w:r>
      <w:r w:rsidR="00DE26E4" w:rsidRPr="004618D5">
        <w:rPr>
          <w:lang w:val="fr-FR"/>
        </w:rPr>
        <w:t>tenus de lui verser la somme de 8 000 EUR.</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108</w:t>
      </w:r>
      <w:r w:rsidRPr="004618D5">
        <w:rPr>
          <w:lang w:val="fr-FR"/>
        </w:rPr>
        <w:fldChar w:fldCharType="end"/>
      </w:r>
      <w:r w:rsidR="00E77CB3" w:rsidRPr="004618D5">
        <w:rPr>
          <w:lang w:val="fr-FR"/>
        </w:rPr>
        <w:t xml:space="preserve">.  Le Gouvernement </w:t>
      </w:r>
      <w:r w:rsidR="002A2942" w:rsidRPr="004618D5">
        <w:rPr>
          <w:lang w:val="fr-FR"/>
        </w:rPr>
        <w:t>s</w:t>
      </w:r>
      <w:r w:rsidR="004618D5" w:rsidRPr="004618D5">
        <w:rPr>
          <w:lang w:val="fr-FR"/>
        </w:rPr>
        <w:t>’</w:t>
      </w:r>
      <w:r w:rsidR="005D4FE2" w:rsidRPr="004618D5">
        <w:rPr>
          <w:lang w:val="fr-FR"/>
        </w:rPr>
        <w:t>en</w:t>
      </w:r>
      <w:r w:rsidR="002A2942" w:rsidRPr="004618D5">
        <w:rPr>
          <w:lang w:val="fr-FR"/>
        </w:rPr>
        <w:t xml:space="preserve"> remet à la sagesse de la Cour.</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109</w:t>
      </w:r>
      <w:r w:rsidRPr="004618D5">
        <w:rPr>
          <w:lang w:val="fr-FR"/>
        </w:rPr>
        <w:fldChar w:fldCharType="end"/>
      </w:r>
      <w:r w:rsidR="00E77CB3" w:rsidRPr="004618D5">
        <w:rPr>
          <w:lang w:val="fr-FR"/>
        </w:rPr>
        <w:t>.  </w:t>
      </w:r>
      <w:r w:rsidRPr="004618D5">
        <w:rPr>
          <w:lang w:val="fr-FR"/>
        </w:rPr>
        <w:t>Selon la jurisprudence de la Cour, un requérant ne peut obtenir le remboursement de ses frais et dépens que dans la mesure où se trouvent établis leur réalité, leur nécessité et le caractère raisonnable de leur taux. En l</w:t>
      </w:r>
      <w:r w:rsidR="004618D5" w:rsidRPr="004618D5">
        <w:rPr>
          <w:lang w:val="fr-FR"/>
        </w:rPr>
        <w:t>’</w:t>
      </w:r>
      <w:r w:rsidRPr="004618D5">
        <w:rPr>
          <w:lang w:val="fr-FR"/>
        </w:rPr>
        <w:t>espèce, compte</w:t>
      </w:r>
      <w:r w:rsidR="00E77CB3" w:rsidRPr="004618D5">
        <w:rPr>
          <w:lang w:val="fr-FR"/>
        </w:rPr>
        <w:t xml:space="preserve"> tenu des documents </w:t>
      </w:r>
      <w:r w:rsidR="00D576CF" w:rsidRPr="004618D5">
        <w:rPr>
          <w:lang w:val="fr-FR"/>
        </w:rPr>
        <w:t>dont elle dispose</w:t>
      </w:r>
      <w:r w:rsidR="00E77CB3" w:rsidRPr="004618D5">
        <w:rPr>
          <w:lang w:val="fr-FR"/>
        </w:rPr>
        <w:t xml:space="preserve"> et de sa jurisprudence, la Cour estime raisonnable la somme </w:t>
      </w:r>
      <w:r w:rsidR="00CC7EDA" w:rsidRPr="004618D5">
        <w:rPr>
          <w:lang w:val="fr-FR"/>
        </w:rPr>
        <w:t xml:space="preserve">totale sollicitée par les requérants </w:t>
      </w:r>
      <w:r w:rsidR="00E77CB3" w:rsidRPr="004618D5">
        <w:rPr>
          <w:lang w:val="fr-FR"/>
        </w:rPr>
        <w:t>tous frais confondus</w:t>
      </w:r>
      <w:r w:rsidR="00D60F64" w:rsidRPr="004618D5">
        <w:rPr>
          <w:lang w:val="fr-FR"/>
        </w:rPr>
        <w:t xml:space="preserve">, soit </w:t>
      </w:r>
      <w:r w:rsidR="00CC7EDA" w:rsidRPr="004618D5">
        <w:rPr>
          <w:lang w:val="fr-FR"/>
        </w:rPr>
        <w:t>18 924,58 EUR</w:t>
      </w:r>
      <w:r w:rsidR="00D60F64" w:rsidRPr="004618D5">
        <w:rPr>
          <w:lang w:val="fr-FR"/>
        </w:rPr>
        <w:t>,</w:t>
      </w:r>
      <w:r w:rsidR="00E77CB3" w:rsidRPr="004618D5">
        <w:rPr>
          <w:lang w:val="fr-FR"/>
        </w:rPr>
        <w:t xml:space="preserve"> et l</w:t>
      </w:r>
      <w:r w:rsidR="004618D5" w:rsidRPr="004618D5">
        <w:rPr>
          <w:lang w:val="fr-FR"/>
        </w:rPr>
        <w:t>’</w:t>
      </w:r>
      <w:r w:rsidR="00E77CB3" w:rsidRPr="004618D5">
        <w:rPr>
          <w:lang w:val="fr-FR"/>
        </w:rPr>
        <w:t xml:space="preserve">accorde </w:t>
      </w:r>
      <w:r w:rsidRPr="004618D5">
        <w:rPr>
          <w:lang w:val="fr-FR"/>
        </w:rPr>
        <w:t xml:space="preserve">aux </w:t>
      </w:r>
      <w:r w:rsidR="00CC7EDA" w:rsidRPr="004618D5">
        <w:rPr>
          <w:lang w:val="fr-FR"/>
        </w:rPr>
        <w:t>intéressés</w:t>
      </w:r>
      <w:r w:rsidR="00E77CB3" w:rsidRPr="004618D5">
        <w:rPr>
          <w:lang w:val="fr-FR"/>
        </w:rPr>
        <w:t>.</w:t>
      </w:r>
    </w:p>
    <w:p w:rsidR="00E77CB3" w:rsidRPr="004618D5" w:rsidRDefault="00E77CB3" w:rsidP="004618D5">
      <w:pPr>
        <w:pStyle w:val="ECHRHeading2"/>
        <w:rPr>
          <w:lang w:val="fr-FR"/>
        </w:rPr>
      </w:pPr>
      <w:r w:rsidRPr="004618D5">
        <w:rPr>
          <w:lang w:val="fr-FR"/>
        </w:rPr>
        <w:t>C.  Intérêts moratoires</w:t>
      </w:r>
    </w:p>
    <w:p w:rsidR="00E77CB3" w:rsidRPr="004618D5" w:rsidRDefault="00F01C64" w:rsidP="004618D5">
      <w:pPr>
        <w:pStyle w:val="ECHRPara"/>
        <w:rPr>
          <w:lang w:val="fr-FR"/>
        </w:rPr>
      </w:pPr>
      <w:r w:rsidRPr="004618D5">
        <w:rPr>
          <w:lang w:val="fr-FR"/>
        </w:rPr>
        <w:fldChar w:fldCharType="begin"/>
      </w:r>
      <w:r w:rsidRPr="004618D5">
        <w:rPr>
          <w:lang w:val="fr-FR"/>
        </w:rPr>
        <w:instrText xml:space="preserve"> SEQ level0 \*arabic </w:instrText>
      </w:r>
      <w:r w:rsidRPr="004618D5">
        <w:rPr>
          <w:lang w:val="fr-FR"/>
        </w:rPr>
        <w:fldChar w:fldCharType="separate"/>
      </w:r>
      <w:r w:rsidR="004618D5" w:rsidRPr="004618D5">
        <w:rPr>
          <w:noProof/>
          <w:lang w:val="fr-FR"/>
        </w:rPr>
        <w:t>110</w:t>
      </w:r>
      <w:r w:rsidRPr="004618D5">
        <w:rPr>
          <w:lang w:val="fr-FR"/>
        </w:rPr>
        <w:fldChar w:fldCharType="end"/>
      </w:r>
      <w:r w:rsidR="00E77CB3" w:rsidRPr="004618D5">
        <w:rPr>
          <w:lang w:val="fr-FR"/>
        </w:rPr>
        <w:t>.  La Cour juge approprié de calquer le taux des intérêts moratoires sur le taux d</w:t>
      </w:r>
      <w:r w:rsidR="004618D5" w:rsidRPr="004618D5">
        <w:rPr>
          <w:lang w:val="fr-FR"/>
        </w:rPr>
        <w:t>’</w:t>
      </w:r>
      <w:r w:rsidR="00E77CB3" w:rsidRPr="004618D5">
        <w:rPr>
          <w:lang w:val="fr-FR"/>
        </w:rPr>
        <w:t>intérêt de la facilité de prêt marginal de la Banque centrale européenne majoré de trois points de pourcentage.</w:t>
      </w:r>
    </w:p>
    <w:p w:rsidR="00E77CB3" w:rsidRPr="004618D5" w:rsidRDefault="00E77CB3" w:rsidP="004618D5">
      <w:pPr>
        <w:pStyle w:val="ECHRTitle1"/>
        <w:rPr>
          <w:lang w:val="fr-FR"/>
        </w:rPr>
      </w:pPr>
      <w:r w:rsidRPr="004618D5">
        <w:rPr>
          <w:lang w:val="fr-FR"/>
        </w:rPr>
        <w:t>PAR CES MOTIFS, LA COUR</w:t>
      </w:r>
    </w:p>
    <w:p w:rsidR="00FB2B45" w:rsidRPr="004618D5" w:rsidRDefault="00FB2B45" w:rsidP="004618D5">
      <w:pPr>
        <w:pStyle w:val="JuList"/>
        <w:rPr>
          <w:lang w:val="fr-FR"/>
        </w:rPr>
      </w:pPr>
      <w:r w:rsidRPr="004618D5">
        <w:rPr>
          <w:lang w:val="fr-FR"/>
        </w:rPr>
        <w:t>1.  </w:t>
      </w:r>
      <w:r w:rsidRPr="004618D5">
        <w:rPr>
          <w:i/>
          <w:lang w:val="fr-FR"/>
        </w:rPr>
        <w:t>Déclare</w:t>
      </w:r>
      <w:r w:rsidR="00F01C64" w:rsidRPr="004618D5">
        <w:rPr>
          <w:lang w:val="fr-FR"/>
        </w:rPr>
        <w:t>, à l</w:t>
      </w:r>
      <w:r w:rsidR="004618D5" w:rsidRPr="004618D5">
        <w:rPr>
          <w:lang w:val="fr-FR"/>
        </w:rPr>
        <w:t>’</w:t>
      </w:r>
      <w:r w:rsidR="00F01C64" w:rsidRPr="004618D5">
        <w:rPr>
          <w:lang w:val="fr-FR"/>
        </w:rPr>
        <w:t>unanimité, la requête recevable</w:t>
      </w:r>
      <w:r w:rsidR="00410698" w:rsidRPr="004618D5">
        <w:rPr>
          <w:lang w:val="fr-FR"/>
        </w:rPr>
        <w:t xml:space="preserve"> quant au grief tiré de l</w:t>
      </w:r>
      <w:r w:rsidR="004618D5" w:rsidRPr="004618D5">
        <w:rPr>
          <w:lang w:val="fr-FR"/>
        </w:rPr>
        <w:t>’</w:t>
      </w:r>
      <w:r w:rsidR="00410698" w:rsidRPr="004618D5">
        <w:rPr>
          <w:lang w:val="fr-FR"/>
        </w:rPr>
        <w:t>article 14 de la Convention combiné avec l</w:t>
      </w:r>
      <w:r w:rsidR="004618D5" w:rsidRPr="004618D5">
        <w:rPr>
          <w:lang w:val="fr-FR"/>
        </w:rPr>
        <w:t>’</w:t>
      </w:r>
      <w:r w:rsidR="00410698" w:rsidRPr="004618D5">
        <w:rPr>
          <w:lang w:val="fr-FR"/>
        </w:rPr>
        <w:t>article 8 de celle-ci</w:t>
      </w:r>
      <w:r w:rsidR="00956B7E" w:rsidRPr="004618D5">
        <w:rPr>
          <w:lang w:val="fr-FR"/>
        </w:rPr>
        <w:t xml:space="preserve"> et irrecevable pour le surplus</w:t>
      </w:r>
      <w:r w:rsidR="00410698" w:rsidRPr="004618D5">
        <w:rPr>
          <w:lang w:val="fr-FR"/>
        </w:rPr>
        <w:t> ;</w:t>
      </w:r>
    </w:p>
    <w:p w:rsidR="00E77CB3" w:rsidRPr="004618D5" w:rsidRDefault="00E77CB3" w:rsidP="004618D5">
      <w:pPr>
        <w:pStyle w:val="JuList"/>
        <w:rPr>
          <w:lang w:val="fr-FR"/>
        </w:rPr>
      </w:pPr>
    </w:p>
    <w:p w:rsidR="00E77CB3" w:rsidRPr="004618D5" w:rsidRDefault="00410698" w:rsidP="004618D5">
      <w:pPr>
        <w:pStyle w:val="JuList"/>
        <w:rPr>
          <w:lang w:val="fr-FR"/>
        </w:rPr>
      </w:pPr>
      <w:r w:rsidRPr="004618D5">
        <w:rPr>
          <w:lang w:val="fr-FR"/>
        </w:rPr>
        <w:t>2</w:t>
      </w:r>
      <w:r w:rsidR="00E77CB3" w:rsidRPr="004618D5">
        <w:rPr>
          <w:lang w:val="fr-FR"/>
        </w:rPr>
        <w:t>.  </w:t>
      </w:r>
      <w:r w:rsidR="00E77CB3" w:rsidRPr="004618D5">
        <w:rPr>
          <w:i/>
          <w:lang w:val="fr-FR"/>
        </w:rPr>
        <w:t>Dit</w:t>
      </w:r>
      <w:r w:rsidR="00F01C64" w:rsidRPr="004618D5">
        <w:rPr>
          <w:lang w:val="fr-FR"/>
        </w:rPr>
        <w:t xml:space="preserve">, par </w:t>
      </w:r>
      <w:r w:rsidR="005F763C" w:rsidRPr="004618D5">
        <w:rPr>
          <w:lang w:val="fr-FR"/>
        </w:rPr>
        <w:t xml:space="preserve">six </w:t>
      </w:r>
      <w:r w:rsidR="00F01C64" w:rsidRPr="004618D5">
        <w:rPr>
          <w:lang w:val="fr-FR"/>
        </w:rPr>
        <w:t xml:space="preserve">voix contre </w:t>
      </w:r>
      <w:r w:rsidR="005F763C" w:rsidRPr="004618D5">
        <w:rPr>
          <w:lang w:val="fr-FR"/>
        </w:rPr>
        <w:t>une</w:t>
      </w:r>
      <w:r w:rsidR="00F01C64" w:rsidRPr="004618D5">
        <w:rPr>
          <w:lang w:val="fr-FR"/>
        </w:rPr>
        <w:t xml:space="preserve">, </w:t>
      </w:r>
      <w:r w:rsidR="00E77CB3" w:rsidRPr="004618D5">
        <w:rPr>
          <w:lang w:val="fr-FR"/>
        </w:rPr>
        <w:t>qu</w:t>
      </w:r>
      <w:r w:rsidR="004618D5" w:rsidRPr="004618D5">
        <w:rPr>
          <w:lang w:val="fr-FR"/>
        </w:rPr>
        <w:t>’</w:t>
      </w:r>
      <w:r w:rsidR="00E77CB3" w:rsidRPr="004618D5">
        <w:rPr>
          <w:lang w:val="fr-FR"/>
        </w:rPr>
        <w:t>il y a eu violation de l</w:t>
      </w:r>
      <w:r w:rsidR="004618D5" w:rsidRPr="004618D5">
        <w:rPr>
          <w:lang w:val="fr-FR"/>
        </w:rPr>
        <w:t>’</w:t>
      </w:r>
      <w:r w:rsidR="00E77CB3" w:rsidRPr="004618D5">
        <w:rPr>
          <w:lang w:val="fr-FR"/>
        </w:rPr>
        <w:t xml:space="preserve">article </w:t>
      </w:r>
      <w:r w:rsidRPr="004618D5">
        <w:rPr>
          <w:lang w:val="fr-FR"/>
        </w:rPr>
        <w:t>14</w:t>
      </w:r>
      <w:r w:rsidR="00E77CB3" w:rsidRPr="004618D5">
        <w:rPr>
          <w:lang w:val="fr-FR"/>
        </w:rPr>
        <w:t xml:space="preserve"> de la Convention</w:t>
      </w:r>
      <w:r w:rsidRPr="004618D5">
        <w:rPr>
          <w:lang w:val="fr-FR"/>
        </w:rPr>
        <w:t xml:space="preserve"> combiné avec l</w:t>
      </w:r>
      <w:r w:rsidR="004618D5" w:rsidRPr="004618D5">
        <w:rPr>
          <w:lang w:val="fr-FR"/>
        </w:rPr>
        <w:t>’</w:t>
      </w:r>
      <w:r w:rsidRPr="004618D5">
        <w:rPr>
          <w:lang w:val="fr-FR"/>
        </w:rPr>
        <w:t>article 8</w:t>
      </w:r>
      <w:r w:rsidR="00E77CB3" w:rsidRPr="004618D5">
        <w:rPr>
          <w:lang w:val="fr-FR"/>
        </w:rPr>
        <w:t> ;</w:t>
      </w:r>
    </w:p>
    <w:p w:rsidR="00C62ED5" w:rsidRPr="004618D5" w:rsidRDefault="00C62ED5" w:rsidP="004618D5">
      <w:pPr>
        <w:pStyle w:val="JuList"/>
        <w:rPr>
          <w:lang w:val="fr-FR"/>
        </w:rPr>
      </w:pPr>
    </w:p>
    <w:p w:rsidR="00E77CB3" w:rsidRPr="004618D5" w:rsidRDefault="00956B7E" w:rsidP="004618D5">
      <w:pPr>
        <w:pStyle w:val="JuList"/>
        <w:rPr>
          <w:lang w:val="fr-FR"/>
        </w:rPr>
      </w:pPr>
      <w:r w:rsidRPr="004618D5">
        <w:rPr>
          <w:lang w:val="fr-FR"/>
        </w:rPr>
        <w:t>3</w:t>
      </w:r>
      <w:r w:rsidR="00E77CB3" w:rsidRPr="004618D5">
        <w:rPr>
          <w:lang w:val="fr-FR"/>
        </w:rPr>
        <w:t>.  </w:t>
      </w:r>
      <w:r w:rsidR="00E77CB3" w:rsidRPr="004618D5">
        <w:rPr>
          <w:i/>
          <w:lang w:val="fr-FR"/>
        </w:rPr>
        <w:t>Dit</w:t>
      </w:r>
      <w:r w:rsidR="00E71320" w:rsidRPr="004618D5">
        <w:rPr>
          <w:lang w:val="fr-FR"/>
        </w:rPr>
        <w:t xml:space="preserve">, par </w:t>
      </w:r>
      <w:r w:rsidR="005F763C" w:rsidRPr="004618D5">
        <w:rPr>
          <w:lang w:val="fr-FR"/>
        </w:rPr>
        <w:t xml:space="preserve">six </w:t>
      </w:r>
      <w:r w:rsidR="00E71320" w:rsidRPr="004618D5">
        <w:rPr>
          <w:lang w:val="fr-FR"/>
        </w:rPr>
        <w:t xml:space="preserve">voix contre </w:t>
      </w:r>
      <w:r w:rsidR="005F763C" w:rsidRPr="004618D5">
        <w:rPr>
          <w:lang w:val="fr-FR"/>
        </w:rPr>
        <w:t>une</w:t>
      </w:r>
      <w:r w:rsidR="00E71320" w:rsidRPr="004618D5">
        <w:rPr>
          <w:lang w:val="fr-FR"/>
        </w:rPr>
        <w:t>,</w:t>
      </w:r>
    </w:p>
    <w:p w:rsidR="00E77CB3" w:rsidRPr="004618D5" w:rsidRDefault="00E77CB3" w:rsidP="004618D5">
      <w:pPr>
        <w:pStyle w:val="JuLista"/>
        <w:rPr>
          <w:lang w:val="fr-FR"/>
        </w:rPr>
      </w:pPr>
      <w:r w:rsidRPr="004618D5">
        <w:rPr>
          <w:lang w:val="fr-FR"/>
        </w:rPr>
        <w:t>a)  que l</w:t>
      </w:r>
      <w:r w:rsidR="004618D5" w:rsidRPr="004618D5">
        <w:rPr>
          <w:lang w:val="fr-FR"/>
        </w:rPr>
        <w:t>’</w:t>
      </w:r>
      <w:r w:rsidRPr="004618D5">
        <w:rPr>
          <w:lang w:val="fr-FR"/>
        </w:rPr>
        <w:t xml:space="preserve">État défendeur doit verser </w:t>
      </w:r>
      <w:r w:rsidR="00F01C64" w:rsidRPr="004618D5">
        <w:rPr>
          <w:lang w:val="fr-FR"/>
        </w:rPr>
        <w:t>aux requérants</w:t>
      </w:r>
      <w:r w:rsidR="00CC7EDA" w:rsidRPr="004618D5">
        <w:rPr>
          <w:lang w:val="fr-FR"/>
        </w:rPr>
        <w:t xml:space="preserve"> conjointement</w:t>
      </w:r>
      <w:r w:rsidRPr="004618D5">
        <w:rPr>
          <w:lang w:val="fr-FR"/>
        </w:rPr>
        <w:t>, dans les trois mois</w:t>
      </w:r>
      <w:r w:rsidR="00CC7EDA" w:rsidRPr="004618D5">
        <w:rPr>
          <w:lang w:val="fr-FR"/>
        </w:rPr>
        <w:t xml:space="preserve"> </w:t>
      </w:r>
      <w:r w:rsidR="00F01C64" w:rsidRPr="004618D5">
        <w:rPr>
          <w:lang w:val="fr-FR"/>
        </w:rPr>
        <w:t>à compter du jour où l</w:t>
      </w:r>
      <w:r w:rsidR="004618D5" w:rsidRPr="004618D5">
        <w:rPr>
          <w:lang w:val="fr-FR"/>
        </w:rPr>
        <w:t>’</w:t>
      </w:r>
      <w:r w:rsidR="00F01C64" w:rsidRPr="004618D5">
        <w:rPr>
          <w:lang w:val="fr-FR"/>
        </w:rPr>
        <w:t>arrêt sera devenu définitif conformément à l</w:t>
      </w:r>
      <w:r w:rsidR="004618D5" w:rsidRPr="004618D5">
        <w:rPr>
          <w:lang w:val="fr-FR"/>
        </w:rPr>
        <w:t>’</w:t>
      </w:r>
      <w:r w:rsidR="00F01C64" w:rsidRPr="004618D5">
        <w:rPr>
          <w:lang w:val="fr-FR"/>
        </w:rPr>
        <w:t>article 44 § 2 de la Convention</w:t>
      </w:r>
      <w:r w:rsidRPr="004618D5">
        <w:rPr>
          <w:lang w:val="fr-FR"/>
        </w:rPr>
        <w:t>, les sommes suivantes :</w:t>
      </w:r>
    </w:p>
    <w:p w:rsidR="00E77CB3" w:rsidRPr="004618D5" w:rsidRDefault="00E77CB3" w:rsidP="004618D5">
      <w:pPr>
        <w:pStyle w:val="JuListi"/>
        <w:rPr>
          <w:lang w:val="fr-FR" w:eastAsia="en-GB"/>
        </w:rPr>
      </w:pPr>
      <w:r w:rsidRPr="004618D5">
        <w:rPr>
          <w:lang w:val="fr-FR" w:eastAsia="en-GB"/>
        </w:rPr>
        <w:t>i</w:t>
      </w:r>
      <w:r w:rsidR="00F576F8" w:rsidRPr="004618D5">
        <w:rPr>
          <w:lang w:val="fr-FR" w:eastAsia="en-GB"/>
        </w:rPr>
        <w:t>.</w:t>
      </w:r>
      <w:r w:rsidRPr="004618D5">
        <w:rPr>
          <w:lang w:val="fr-FR" w:eastAsia="en-GB"/>
        </w:rPr>
        <w:t>  </w:t>
      </w:r>
      <w:r w:rsidR="00CC7EDA" w:rsidRPr="004618D5">
        <w:rPr>
          <w:lang w:val="fr-FR" w:eastAsia="en-GB"/>
        </w:rPr>
        <w:t>20 000</w:t>
      </w:r>
      <w:r w:rsidRPr="004618D5">
        <w:rPr>
          <w:lang w:val="fr-FR" w:eastAsia="en-GB"/>
        </w:rPr>
        <w:t xml:space="preserve"> EUR (</w:t>
      </w:r>
      <w:r w:rsidR="00CC7EDA" w:rsidRPr="004618D5">
        <w:rPr>
          <w:lang w:val="fr-FR" w:eastAsia="en-GB"/>
        </w:rPr>
        <w:t>vingt</w:t>
      </w:r>
      <w:r w:rsidR="005D4FE2" w:rsidRPr="004618D5">
        <w:rPr>
          <w:lang w:val="fr-FR" w:eastAsia="en-GB"/>
        </w:rPr>
        <w:t xml:space="preserve"> </w:t>
      </w:r>
      <w:r w:rsidR="00CC7EDA" w:rsidRPr="004618D5">
        <w:rPr>
          <w:lang w:val="fr-FR" w:eastAsia="en-GB"/>
        </w:rPr>
        <w:t>mille</w:t>
      </w:r>
      <w:r w:rsidRPr="004618D5">
        <w:rPr>
          <w:lang w:val="fr-FR" w:eastAsia="en-GB"/>
        </w:rPr>
        <w:t xml:space="preserve"> euros), plus tout montant pouvant être dû à titre d</w:t>
      </w:r>
      <w:r w:rsidR="004618D5" w:rsidRPr="004618D5">
        <w:rPr>
          <w:lang w:val="fr-FR" w:eastAsia="en-GB"/>
        </w:rPr>
        <w:t>’</w:t>
      </w:r>
      <w:r w:rsidRPr="004618D5">
        <w:rPr>
          <w:lang w:val="fr-FR" w:eastAsia="en-GB"/>
        </w:rPr>
        <w:t>impôt, pour dommage moral</w:t>
      </w:r>
      <w:r w:rsidR="00F576F8" w:rsidRPr="004618D5">
        <w:rPr>
          <w:lang w:val="fr-FR" w:eastAsia="en-GB"/>
        </w:rPr>
        <w:t>,</w:t>
      </w:r>
    </w:p>
    <w:p w:rsidR="00E77CB3" w:rsidRPr="004618D5" w:rsidRDefault="00E77CB3" w:rsidP="004618D5">
      <w:pPr>
        <w:pStyle w:val="JuListi"/>
        <w:rPr>
          <w:lang w:val="fr-FR" w:eastAsia="en-GB"/>
        </w:rPr>
      </w:pPr>
      <w:r w:rsidRPr="004618D5">
        <w:rPr>
          <w:lang w:val="fr-FR" w:eastAsia="en-GB"/>
        </w:rPr>
        <w:t>ii</w:t>
      </w:r>
      <w:r w:rsidR="00F576F8" w:rsidRPr="004618D5">
        <w:rPr>
          <w:lang w:val="fr-FR" w:eastAsia="en-GB"/>
        </w:rPr>
        <w:t>.</w:t>
      </w:r>
      <w:r w:rsidRPr="004618D5">
        <w:rPr>
          <w:lang w:val="fr-FR" w:eastAsia="en-GB"/>
        </w:rPr>
        <w:t>  </w:t>
      </w:r>
      <w:r w:rsidR="00410698" w:rsidRPr="004618D5">
        <w:rPr>
          <w:lang w:val="fr-FR"/>
        </w:rPr>
        <w:t>18 924,58</w:t>
      </w:r>
      <w:r w:rsidRPr="004618D5">
        <w:rPr>
          <w:lang w:val="fr-FR" w:eastAsia="en-GB"/>
        </w:rPr>
        <w:t xml:space="preserve"> EUR (</w:t>
      </w:r>
      <w:r w:rsidR="00410698" w:rsidRPr="004618D5">
        <w:rPr>
          <w:lang w:val="fr-FR" w:eastAsia="en-GB"/>
        </w:rPr>
        <w:t>dix-huit mille neuf</w:t>
      </w:r>
      <w:r w:rsidR="005D4FE2" w:rsidRPr="004618D5">
        <w:rPr>
          <w:lang w:val="fr-FR" w:eastAsia="en-GB"/>
        </w:rPr>
        <w:t xml:space="preserve"> </w:t>
      </w:r>
      <w:r w:rsidR="00410698" w:rsidRPr="004618D5">
        <w:rPr>
          <w:lang w:val="fr-FR" w:eastAsia="en-GB"/>
        </w:rPr>
        <w:t>cent vingt-quatre</w:t>
      </w:r>
      <w:r w:rsidRPr="004618D5">
        <w:rPr>
          <w:lang w:val="fr-FR" w:eastAsia="en-GB"/>
        </w:rPr>
        <w:t xml:space="preserve"> euros</w:t>
      </w:r>
      <w:r w:rsidR="00410698" w:rsidRPr="004618D5">
        <w:rPr>
          <w:lang w:val="fr-FR" w:eastAsia="en-GB"/>
        </w:rPr>
        <w:t xml:space="preserve"> et cinquante-hu</w:t>
      </w:r>
      <w:r w:rsidR="00342AED" w:rsidRPr="004618D5">
        <w:rPr>
          <w:lang w:val="fr-FR" w:eastAsia="en-GB"/>
        </w:rPr>
        <w:t xml:space="preserve">it </w:t>
      </w:r>
      <w:r w:rsidR="00410698" w:rsidRPr="004618D5">
        <w:rPr>
          <w:lang w:val="fr-FR" w:eastAsia="en-GB"/>
        </w:rPr>
        <w:t>centimes</w:t>
      </w:r>
      <w:r w:rsidRPr="004618D5">
        <w:rPr>
          <w:lang w:val="fr-FR" w:eastAsia="en-GB"/>
        </w:rPr>
        <w:t xml:space="preserve">), plus tout montant </w:t>
      </w:r>
      <w:r w:rsidR="005E37C6" w:rsidRPr="004618D5">
        <w:rPr>
          <w:lang w:val="fr-FR" w:eastAsia="en-GB"/>
        </w:rPr>
        <w:t xml:space="preserve">pouvant être dû par </w:t>
      </w:r>
      <w:r w:rsidR="00F01C64" w:rsidRPr="004618D5">
        <w:rPr>
          <w:lang w:val="fr-FR"/>
        </w:rPr>
        <w:t>les requérants</w:t>
      </w:r>
      <w:r w:rsidR="005E37C6" w:rsidRPr="004618D5">
        <w:rPr>
          <w:lang w:val="fr-FR" w:eastAsia="en-GB"/>
        </w:rPr>
        <w:t xml:space="preserve"> à titre d</w:t>
      </w:r>
      <w:r w:rsidR="004618D5" w:rsidRPr="004618D5">
        <w:rPr>
          <w:lang w:val="fr-FR" w:eastAsia="en-GB"/>
        </w:rPr>
        <w:t>’</w:t>
      </w:r>
      <w:r w:rsidR="005E37C6" w:rsidRPr="004618D5">
        <w:rPr>
          <w:lang w:val="fr-FR" w:eastAsia="en-GB"/>
        </w:rPr>
        <w:t>impôt, pour frais et dépens</w:t>
      </w:r>
      <w:r w:rsidRPr="004618D5">
        <w:rPr>
          <w:lang w:val="fr-FR" w:eastAsia="en-GB"/>
        </w:rPr>
        <w:t> ;</w:t>
      </w:r>
    </w:p>
    <w:p w:rsidR="00E77CB3" w:rsidRPr="004618D5" w:rsidRDefault="00E77CB3" w:rsidP="004618D5">
      <w:pPr>
        <w:pStyle w:val="JuLista"/>
        <w:rPr>
          <w:lang w:val="fr-FR"/>
        </w:rPr>
      </w:pPr>
      <w:r w:rsidRPr="004618D5">
        <w:rPr>
          <w:lang w:val="fr-FR"/>
        </w:rPr>
        <w:t>b)  qu</w:t>
      </w:r>
      <w:r w:rsidR="004618D5" w:rsidRPr="004618D5">
        <w:rPr>
          <w:lang w:val="fr-FR"/>
        </w:rPr>
        <w:t>’</w:t>
      </w:r>
      <w:r w:rsidRPr="004618D5">
        <w:rPr>
          <w:lang w:val="fr-FR"/>
        </w:rPr>
        <w:t>à compter de l</w:t>
      </w:r>
      <w:r w:rsidR="004618D5" w:rsidRPr="004618D5">
        <w:rPr>
          <w:lang w:val="fr-FR"/>
        </w:rPr>
        <w:t>’</w:t>
      </w:r>
      <w:r w:rsidRPr="004618D5">
        <w:rPr>
          <w:lang w:val="fr-FR"/>
        </w:rPr>
        <w:t>expiration dudit délai et jusqu</w:t>
      </w:r>
      <w:r w:rsidR="004618D5" w:rsidRPr="004618D5">
        <w:rPr>
          <w:lang w:val="fr-FR"/>
        </w:rPr>
        <w:t>’</w:t>
      </w:r>
      <w:r w:rsidRPr="004618D5">
        <w:rPr>
          <w:lang w:val="fr-FR"/>
        </w:rPr>
        <w:t>au versement, ces montants seront à majorer d</w:t>
      </w:r>
      <w:r w:rsidR="004618D5" w:rsidRPr="004618D5">
        <w:rPr>
          <w:lang w:val="fr-FR"/>
        </w:rPr>
        <w:t>’</w:t>
      </w:r>
      <w:r w:rsidRPr="004618D5">
        <w:rPr>
          <w:lang w:val="fr-FR"/>
        </w:rPr>
        <w:t>un intérêt simple à un taux égal à celui de la facilité de prêt marginal de la Banque centrale européenne applicable pendant cette période, augmenté de trois points de pourcentage ;</w:t>
      </w:r>
    </w:p>
    <w:p w:rsidR="00E77CB3" w:rsidRPr="004618D5" w:rsidRDefault="00E77CB3" w:rsidP="004618D5">
      <w:pPr>
        <w:pStyle w:val="JuLista"/>
        <w:rPr>
          <w:lang w:val="fr-FR"/>
        </w:rPr>
      </w:pPr>
    </w:p>
    <w:p w:rsidR="00E77CB3" w:rsidRPr="004618D5" w:rsidRDefault="00956B7E" w:rsidP="004618D5">
      <w:pPr>
        <w:pStyle w:val="JuList"/>
        <w:rPr>
          <w:lang w:val="fr-FR"/>
        </w:rPr>
      </w:pPr>
      <w:r w:rsidRPr="004618D5">
        <w:rPr>
          <w:lang w:val="fr-FR"/>
        </w:rPr>
        <w:t>4</w:t>
      </w:r>
      <w:r w:rsidR="00E77CB3" w:rsidRPr="004618D5">
        <w:rPr>
          <w:lang w:val="fr-FR"/>
        </w:rPr>
        <w:t>.  </w:t>
      </w:r>
      <w:r w:rsidR="00E77CB3" w:rsidRPr="004618D5">
        <w:rPr>
          <w:i/>
          <w:lang w:val="fr-FR"/>
        </w:rPr>
        <w:t>Rejette</w:t>
      </w:r>
      <w:r w:rsidR="00E71320" w:rsidRPr="004618D5">
        <w:rPr>
          <w:lang w:val="fr-FR"/>
        </w:rPr>
        <w:t>, à l</w:t>
      </w:r>
      <w:r w:rsidR="004618D5" w:rsidRPr="004618D5">
        <w:rPr>
          <w:lang w:val="fr-FR"/>
        </w:rPr>
        <w:t>’</w:t>
      </w:r>
      <w:r w:rsidR="00E71320" w:rsidRPr="004618D5">
        <w:rPr>
          <w:lang w:val="fr-FR"/>
        </w:rPr>
        <w:t xml:space="preserve">unanimité, </w:t>
      </w:r>
      <w:r w:rsidR="00E77CB3" w:rsidRPr="004618D5">
        <w:rPr>
          <w:lang w:val="fr-FR"/>
        </w:rPr>
        <w:t>la demande de satisfaction équitable pour le surplus.</w:t>
      </w:r>
    </w:p>
    <w:p w:rsidR="00E77CB3" w:rsidRPr="004618D5" w:rsidRDefault="00E77CB3" w:rsidP="004618D5">
      <w:pPr>
        <w:pStyle w:val="JuParaLast"/>
        <w:rPr>
          <w:lang w:val="fr-FR"/>
        </w:rPr>
      </w:pPr>
      <w:r w:rsidRPr="004618D5">
        <w:rPr>
          <w:lang w:val="fr-FR"/>
        </w:rPr>
        <w:t>Fait en françai</w:t>
      </w:r>
      <w:r w:rsidR="0075516C" w:rsidRPr="004618D5">
        <w:rPr>
          <w:lang w:val="fr-FR"/>
        </w:rPr>
        <w:t xml:space="preserve">s, puis communiqué par écrit le </w:t>
      </w:r>
      <w:r w:rsidR="005F763C" w:rsidRPr="004618D5">
        <w:rPr>
          <w:lang w:val="fr-FR"/>
        </w:rPr>
        <w:t xml:space="preserve">30 juin 2016, </w:t>
      </w:r>
      <w:r w:rsidRPr="004618D5">
        <w:rPr>
          <w:lang w:val="fr-FR"/>
        </w:rPr>
        <w:t>en application de l</w:t>
      </w:r>
      <w:r w:rsidR="004618D5" w:rsidRPr="004618D5">
        <w:rPr>
          <w:lang w:val="fr-FR"/>
        </w:rPr>
        <w:t>’</w:t>
      </w:r>
      <w:r w:rsidRPr="004618D5">
        <w:rPr>
          <w:lang w:val="fr-FR"/>
        </w:rPr>
        <w:t>article 77 §§ 2 et 3 du règlement</w:t>
      </w:r>
      <w:r w:rsidR="00AC0824" w:rsidRPr="004618D5">
        <w:rPr>
          <w:lang w:val="fr-FR"/>
        </w:rPr>
        <w:t xml:space="preserve"> de la Cour</w:t>
      </w:r>
      <w:r w:rsidRPr="004618D5">
        <w:rPr>
          <w:lang w:val="fr-FR"/>
        </w:rPr>
        <w:t>.</w:t>
      </w:r>
    </w:p>
    <w:p w:rsidR="00400B06" w:rsidRPr="004618D5" w:rsidRDefault="00F01C64" w:rsidP="004618D5">
      <w:pPr>
        <w:pStyle w:val="JuSigned"/>
        <w:keepNext/>
        <w:keepLines/>
        <w:tabs>
          <w:tab w:val="clear" w:pos="6407"/>
          <w:tab w:val="center" w:pos="5954"/>
        </w:tabs>
        <w:rPr>
          <w:lang w:val="fr-FR"/>
        </w:rPr>
      </w:pPr>
      <w:r w:rsidRPr="004618D5">
        <w:rPr>
          <w:lang w:val="fr-FR"/>
        </w:rPr>
        <w:tab/>
      </w:r>
      <w:r w:rsidR="00956B7E" w:rsidRPr="004618D5">
        <w:rPr>
          <w:lang w:val="fr-FR"/>
        </w:rPr>
        <w:t>Abel Campos</w:t>
      </w:r>
      <w:r w:rsidR="00E77CB3" w:rsidRPr="004618D5">
        <w:rPr>
          <w:lang w:val="fr-FR"/>
        </w:rPr>
        <w:tab/>
      </w:r>
      <w:r w:rsidR="00E56C07" w:rsidRPr="004618D5">
        <w:rPr>
          <w:lang w:val="fr-FR"/>
        </w:rPr>
        <w:t>Mirjana Lazarova Trajkovska</w:t>
      </w:r>
      <w:r w:rsidR="00E77CB3" w:rsidRPr="004618D5">
        <w:rPr>
          <w:lang w:val="fr-FR"/>
        </w:rPr>
        <w:br/>
      </w:r>
      <w:r w:rsidR="00E77CB3" w:rsidRPr="004618D5">
        <w:rPr>
          <w:lang w:val="fr-FR"/>
        </w:rPr>
        <w:tab/>
      </w:r>
      <w:r w:rsidRPr="004618D5">
        <w:rPr>
          <w:lang w:val="fr-FR"/>
        </w:rPr>
        <w:t>Greffi</w:t>
      </w:r>
      <w:r w:rsidR="00E56C07" w:rsidRPr="004618D5">
        <w:rPr>
          <w:lang w:val="fr-FR"/>
        </w:rPr>
        <w:t>e</w:t>
      </w:r>
      <w:r w:rsidRPr="004618D5">
        <w:rPr>
          <w:lang w:val="fr-FR"/>
        </w:rPr>
        <w:t>r</w:t>
      </w:r>
      <w:r w:rsidR="00E77CB3" w:rsidRPr="004618D5">
        <w:rPr>
          <w:lang w:val="fr-FR"/>
        </w:rPr>
        <w:tab/>
      </w:r>
      <w:r w:rsidRPr="004618D5">
        <w:rPr>
          <w:lang w:val="fr-FR"/>
        </w:rPr>
        <w:t>Présidente</w:t>
      </w:r>
    </w:p>
    <w:p w:rsidR="00820E9F" w:rsidRPr="004618D5" w:rsidRDefault="00820E9F" w:rsidP="004618D5">
      <w:pPr>
        <w:pStyle w:val="JuParaLast"/>
        <w:rPr>
          <w:lang w:val="fr-FR"/>
        </w:rPr>
      </w:pPr>
      <w:r w:rsidRPr="004618D5">
        <w:rPr>
          <w:lang w:val="fr-FR"/>
        </w:rPr>
        <w:t>Au présent arrêt se trouve joint, conformément aux articles 45 § 2 de la Convention et 74 § 2 du règlement, l</w:t>
      </w:r>
      <w:r w:rsidR="004618D5" w:rsidRPr="004618D5">
        <w:rPr>
          <w:lang w:val="fr-FR"/>
        </w:rPr>
        <w:t>’</w:t>
      </w:r>
      <w:r w:rsidRPr="004618D5">
        <w:rPr>
          <w:lang w:val="fr-FR"/>
        </w:rPr>
        <w:t>exposé des opinions séparées suivantes :</w:t>
      </w:r>
    </w:p>
    <w:p w:rsidR="00820E9F" w:rsidRPr="004618D5" w:rsidRDefault="00820E9F" w:rsidP="004618D5">
      <w:pPr>
        <w:pStyle w:val="ECHRPara"/>
        <w:rPr>
          <w:lang w:val="fr-FR"/>
        </w:rPr>
      </w:pPr>
      <w:r w:rsidRPr="004618D5">
        <w:rPr>
          <w:lang w:val="fr-FR"/>
        </w:rPr>
        <w:t>–  opinion concordante du juge Spano, à laquelle se rallie le juge Bianku ;</w:t>
      </w:r>
    </w:p>
    <w:p w:rsidR="00820E9F" w:rsidRPr="004618D5" w:rsidRDefault="00820E9F" w:rsidP="004618D5">
      <w:pPr>
        <w:pStyle w:val="ECHRPara"/>
        <w:rPr>
          <w:lang w:val="fr-FR"/>
        </w:rPr>
      </w:pPr>
      <w:r w:rsidRPr="004618D5">
        <w:rPr>
          <w:lang w:val="fr-FR"/>
        </w:rPr>
        <w:t xml:space="preserve">–  opinion </w:t>
      </w:r>
      <w:r w:rsidR="00024205" w:rsidRPr="004618D5">
        <w:rPr>
          <w:lang w:val="fr-FR"/>
        </w:rPr>
        <w:t>partiellement dissidente</w:t>
      </w:r>
      <w:r w:rsidRPr="004618D5">
        <w:rPr>
          <w:lang w:val="fr-FR"/>
        </w:rPr>
        <w:t xml:space="preserve"> du juge </w:t>
      </w:r>
      <w:r w:rsidR="00024205" w:rsidRPr="004618D5">
        <w:rPr>
          <w:lang w:val="fr-FR"/>
        </w:rPr>
        <w:t>Sicilianos</w:t>
      </w:r>
      <w:r w:rsidRPr="004618D5">
        <w:rPr>
          <w:lang w:val="fr-FR"/>
        </w:rPr>
        <w:t>.</w:t>
      </w:r>
    </w:p>
    <w:p w:rsidR="00342AED" w:rsidRPr="004618D5" w:rsidRDefault="00342AED" w:rsidP="004618D5">
      <w:pPr>
        <w:pStyle w:val="JuInitialled"/>
        <w:rPr>
          <w:lang w:val="en-GB"/>
        </w:rPr>
      </w:pPr>
      <w:r w:rsidRPr="004618D5">
        <w:rPr>
          <w:lang w:val="en-GB"/>
        </w:rPr>
        <w:t>M.L.T.</w:t>
      </w:r>
      <w:r w:rsidRPr="004618D5">
        <w:rPr>
          <w:lang w:val="en-GB"/>
        </w:rPr>
        <w:br/>
        <w:t>A.C.</w:t>
      </w:r>
    </w:p>
    <w:p w:rsidR="00CE0275" w:rsidRPr="004618D5" w:rsidRDefault="00CE0275" w:rsidP="004618D5">
      <w:pPr>
        <w:pStyle w:val="JuInitialled"/>
        <w:rPr>
          <w:lang w:val="en-GB"/>
        </w:rPr>
        <w:sectPr w:rsidR="00CE0275" w:rsidRPr="004618D5" w:rsidSect="00B55B33">
          <w:headerReference w:type="even" r:id="rId14"/>
          <w:headerReference w:type="default" r:id="rId15"/>
          <w:pgSz w:w="11906" w:h="16838" w:code="9"/>
          <w:pgMar w:top="2274" w:right="2274" w:bottom="2274" w:left="2274" w:header="1701" w:footer="720" w:gutter="0"/>
          <w:pgNumType w:start="1"/>
          <w:cols w:space="720"/>
          <w:docGrid w:linePitch="326"/>
        </w:sectPr>
      </w:pPr>
    </w:p>
    <w:p w:rsidR="00CE0275" w:rsidRPr="004618D5" w:rsidRDefault="00CE0275" w:rsidP="004618D5">
      <w:pPr>
        <w:pStyle w:val="ECHRTitleCentre1"/>
        <w:rPr>
          <w:lang w:val="en-GB"/>
        </w:rPr>
      </w:pPr>
      <w:r w:rsidRPr="004618D5">
        <w:rPr>
          <w:lang w:val="en-GB"/>
        </w:rPr>
        <w:lastRenderedPageBreak/>
        <w:t>CONCURRING OPINION OF JUDGE SPANO, JOINED BY JUDGE BIANKU</w:t>
      </w:r>
    </w:p>
    <w:p w:rsidR="00C71E23" w:rsidRPr="004618D5" w:rsidRDefault="00C71E23" w:rsidP="004618D5">
      <w:pPr>
        <w:pStyle w:val="OpiPara"/>
        <w:rPr>
          <w:lang w:val="en-GB"/>
        </w:rPr>
      </w:pPr>
      <w:r w:rsidRPr="004618D5">
        <w:rPr>
          <w:lang w:val="en-GB"/>
        </w:rPr>
        <w:t>1.  I will not express a view on the Court</w:t>
      </w:r>
      <w:r w:rsidR="004618D5" w:rsidRPr="004618D5">
        <w:rPr>
          <w:lang w:val="en-GB"/>
        </w:rPr>
        <w:t>’</w:t>
      </w:r>
      <w:r w:rsidRPr="004618D5">
        <w:rPr>
          <w:lang w:val="en-GB"/>
        </w:rPr>
        <w:t xml:space="preserve">s current case-law granting deference to the Member States in deciding whether to legalise same-sex marriage. As things stand, that is the position of the Court, one by which I am bound on the basis of the principle of </w:t>
      </w:r>
      <w:r w:rsidRPr="004618D5">
        <w:rPr>
          <w:i/>
          <w:lang w:val="en-GB"/>
        </w:rPr>
        <w:t>stare decisis</w:t>
      </w:r>
      <w:r w:rsidRPr="004618D5">
        <w:rPr>
          <w:lang w:val="en-GB"/>
        </w:rPr>
        <w:t xml:space="preserve">. However, as recognised in </w:t>
      </w:r>
      <w:r w:rsidRPr="004618D5">
        <w:rPr>
          <w:i/>
          <w:lang w:val="en-GB"/>
        </w:rPr>
        <w:t>Schalk and Kopf v. Austria</w:t>
      </w:r>
      <w:r w:rsidRPr="004618D5">
        <w:rPr>
          <w:lang w:val="en-GB"/>
        </w:rPr>
        <w:t xml:space="preserve"> (no. 30141/04, § 105, ECHR 2010), things may change.</w:t>
      </w:r>
    </w:p>
    <w:p w:rsidR="00C71E23" w:rsidRPr="004618D5" w:rsidRDefault="00C71E23" w:rsidP="004618D5">
      <w:pPr>
        <w:pStyle w:val="OpiPara"/>
        <w:rPr>
          <w:lang w:val="en-GB"/>
        </w:rPr>
      </w:pPr>
      <w:r w:rsidRPr="004618D5">
        <w:rPr>
          <w:lang w:val="en-GB"/>
        </w:rPr>
        <w:t>2.  I am writing separately to highlight the fact that although States are not under an obligation to afford same-sex couples access to the institution of marriage, that does not mean that these individuals are unable to find sanctuary in this Court when invoking the right to respect for their family lives in particular contexts. On the contrary, if States decide to exclude same-sex couples from being able to marry, such a decision may have consequences when this Court is called upon to examine a claim of unjustified discrimination within a specific context that falls within the ambit of the right to respect for family life under Article 8 taken in conjunction with Article 14 of the Convention.</w:t>
      </w:r>
    </w:p>
    <w:p w:rsidR="004618D5" w:rsidRPr="004618D5" w:rsidRDefault="00C71E23" w:rsidP="004618D5">
      <w:pPr>
        <w:pStyle w:val="OpiPara"/>
        <w:rPr>
          <w:lang w:val="en-GB"/>
        </w:rPr>
      </w:pPr>
      <w:r w:rsidRPr="004618D5">
        <w:rPr>
          <w:lang w:val="en-GB"/>
        </w:rPr>
        <w:t xml:space="preserve">3.  As Italy decided to afford foreign nationals the ability to request residence permits if they were “family members” of citizens, the application of that system of domestic law could not be discriminatory (see </w:t>
      </w:r>
      <w:r w:rsidR="004618D5" w:rsidRPr="004618D5">
        <w:rPr>
          <w:i/>
          <w:lang w:val="en-GB"/>
        </w:rPr>
        <w:t>E.B. </w:t>
      </w:r>
      <w:r w:rsidRPr="004618D5">
        <w:rPr>
          <w:i/>
          <w:lang w:val="en-GB"/>
        </w:rPr>
        <w:t>v. France</w:t>
      </w:r>
      <w:r w:rsidRPr="004618D5">
        <w:rPr>
          <w:lang w:val="en-GB"/>
        </w:rPr>
        <w:t xml:space="preserve"> [GC], no. 43546/02, § 49, 22 January 2008). It follows that the impossibility in Italy at the material time for same-sex couples to acquire marital status or other legal recognition of their relationship could not, under any reasonable interpretation of Article 8 taken in conjunction with Article 14 of the Convention, have made their relationships any less worthy of being treated as constituting a family unit within the particular context of immigration proceedings. The judgment does nothing more than require Italy to take due account of the existence of a serious and stable same-sex relationship in this specific context. The Court thus firmly rejects the argument that States can legitimately invoke the concept of the “traditional family” as a basis for denying a request for a residence permit made by a foreign national who is in a relationship with a citizen of the same sex.</w:t>
      </w:r>
    </w:p>
    <w:p w:rsidR="004618D5" w:rsidRPr="004618D5" w:rsidRDefault="00C71E23" w:rsidP="004618D5">
      <w:pPr>
        <w:pStyle w:val="OpiPara"/>
        <w:rPr>
          <w:lang w:val="en-GB"/>
        </w:rPr>
      </w:pPr>
      <w:r w:rsidRPr="004618D5">
        <w:rPr>
          <w:lang w:val="en-GB"/>
        </w:rPr>
        <w:t>4.  In conclusion, the fundamental principle of human dignity, which is one of the cornerstones of Article 8 of the Convention, guarantees to each and every individual the right to found a family with whomever they choose, irrespective of their sexual identity or sexual orientation.</w:t>
      </w:r>
    </w:p>
    <w:p w:rsidR="00C71E23" w:rsidRPr="004618D5" w:rsidRDefault="00C71E23" w:rsidP="004618D5">
      <w:pPr>
        <w:pStyle w:val="OpiPara"/>
        <w:rPr>
          <w:lang w:val="en-GB"/>
        </w:rPr>
      </w:pPr>
      <w:r w:rsidRPr="004618D5">
        <w:rPr>
          <w:lang w:val="en-GB"/>
        </w:rPr>
        <w:t>I concur in the judgment.</w:t>
      </w:r>
    </w:p>
    <w:p w:rsidR="002764D4" w:rsidRPr="004618D5" w:rsidRDefault="002764D4" w:rsidP="004618D5">
      <w:pPr>
        <w:pStyle w:val="OpiPara"/>
        <w:rPr>
          <w:lang w:val="en-GB"/>
        </w:rPr>
      </w:pPr>
    </w:p>
    <w:p w:rsidR="00E12369" w:rsidRPr="004618D5" w:rsidRDefault="00E12369" w:rsidP="004618D5">
      <w:pPr>
        <w:pStyle w:val="OpiPara"/>
        <w:rPr>
          <w:lang w:val="en-GB"/>
        </w:rPr>
        <w:sectPr w:rsidR="00E12369" w:rsidRPr="004618D5" w:rsidSect="00CE0275">
          <w:headerReference w:type="even" r:id="rId16"/>
          <w:pgSz w:w="11906" w:h="16838" w:code="9"/>
          <w:pgMar w:top="2274" w:right="2274" w:bottom="2274" w:left="2274" w:header="1701" w:footer="720" w:gutter="0"/>
          <w:cols w:space="720"/>
          <w:docGrid w:linePitch="326"/>
        </w:sectPr>
      </w:pPr>
    </w:p>
    <w:p w:rsidR="00D8299A" w:rsidRPr="004618D5" w:rsidRDefault="00FA1A60" w:rsidP="004618D5">
      <w:pPr>
        <w:pStyle w:val="ECHRTitleCentre1"/>
        <w:rPr>
          <w:lang w:val="fr-FR"/>
        </w:rPr>
      </w:pPr>
      <w:r w:rsidRPr="004618D5">
        <w:rPr>
          <w:lang w:val="fr-FR"/>
        </w:rPr>
        <w:lastRenderedPageBreak/>
        <w:t>OPINION PARTIELLEMENT DISSIDENTE DU JUGE SICILIANOS</w:t>
      </w:r>
    </w:p>
    <w:p w:rsidR="00932BE3" w:rsidRPr="004618D5" w:rsidRDefault="00932BE3" w:rsidP="004618D5">
      <w:pPr>
        <w:pStyle w:val="OpiPara"/>
        <w:rPr>
          <w:lang w:val="fr-FR"/>
        </w:rPr>
      </w:pPr>
      <w:r w:rsidRPr="004618D5">
        <w:rPr>
          <w:lang w:val="fr-FR"/>
        </w:rPr>
        <w:t>1.  À mon grand regret, je ne peux suivre la majorité lorsqu</w:t>
      </w:r>
      <w:r w:rsidR="004618D5" w:rsidRPr="004618D5">
        <w:rPr>
          <w:lang w:val="fr-FR"/>
        </w:rPr>
        <w:t>’</w:t>
      </w:r>
      <w:r w:rsidRPr="004618D5">
        <w:rPr>
          <w:lang w:val="fr-FR"/>
        </w:rPr>
        <w:t>elle conclut à la violation de l</w:t>
      </w:r>
      <w:r w:rsidR="004618D5" w:rsidRPr="004618D5">
        <w:rPr>
          <w:lang w:val="fr-FR"/>
        </w:rPr>
        <w:t>’</w:t>
      </w:r>
      <w:r w:rsidRPr="004618D5">
        <w:rPr>
          <w:lang w:val="fr-FR"/>
        </w:rPr>
        <w:t>article 8 combiné avec l</w:t>
      </w:r>
      <w:r w:rsidR="004618D5" w:rsidRPr="004618D5">
        <w:rPr>
          <w:lang w:val="fr-FR"/>
        </w:rPr>
        <w:t>’</w:t>
      </w:r>
      <w:r w:rsidRPr="004618D5">
        <w:rPr>
          <w:lang w:val="fr-FR"/>
        </w:rPr>
        <w:t xml:space="preserve">article 14 de la Convention. En effet, je pense que la présente affaire ne constitue pas un cas de discrimination prohibée </w:t>
      </w:r>
      <w:r w:rsidR="00C95C01" w:rsidRPr="004618D5">
        <w:rPr>
          <w:lang w:val="fr-FR"/>
        </w:rPr>
        <w:t>par la Convention </w:t>
      </w:r>
      <w:r w:rsidRPr="004618D5">
        <w:rPr>
          <w:lang w:val="fr-FR"/>
        </w:rPr>
        <w:t>(I). Selon moi, il pourrait s</w:t>
      </w:r>
      <w:r w:rsidR="004618D5" w:rsidRPr="004618D5">
        <w:rPr>
          <w:lang w:val="fr-FR"/>
        </w:rPr>
        <w:t>’</w:t>
      </w:r>
      <w:r w:rsidRPr="004618D5">
        <w:rPr>
          <w:lang w:val="fr-FR"/>
        </w:rPr>
        <w:t>agir, en l</w:t>
      </w:r>
      <w:r w:rsidR="004618D5" w:rsidRPr="004618D5">
        <w:rPr>
          <w:lang w:val="fr-FR"/>
        </w:rPr>
        <w:t>’</w:t>
      </w:r>
      <w:r w:rsidRPr="004618D5">
        <w:rPr>
          <w:lang w:val="fr-FR"/>
        </w:rPr>
        <w:t>occurrence, d</w:t>
      </w:r>
      <w:r w:rsidR="004618D5" w:rsidRPr="004618D5">
        <w:rPr>
          <w:lang w:val="fr-FR"/>
        </w:rPr>
        <w:t>’</w:t>
      </w:r>
      <w:r w:rsidRPr="004618D5">
        <w:rPr>
          <w:lang w:val="fr-FR"/>
        </w:rPr>
        <w:t>une violation du droit au respect de la vie familiale garanti par l</w:t>
      </w:r>
      <w:r w:rsidR="004618D5" w:rsidRPr="004618D5">
        <w:rPr>
          <w:lang w:val="fr-FR"/>
        </w:rPr>
        <w:t>’</w:t>
      </w:r>
      <w:r w:rsidRPr="004618D5">
        <w:rPr>
          <w:lang w:val="fr-FR"/>
        </w:rPr>
        <w:t xml:space="preserve">article 8 </w:t>
      </w:r>
      <w:r w:rsidR="00C95C01" w:rsidRPr="004618D5">
        <w:rPr>
          <w:lang w:val="fr-FR"/>
        </w:rPr>
        <w:t>de la Convention pris isolément </w:t>
      </w:r>
      <w:r w:rsidRPr="004618D5">
        <w:rPr>
          <w:lang w:val="fr-FR"/>
        </w:rPr>
        <w:t>(II).</w:t>
      </w:r>
    </w:p>
    <w:p w:rsidR="00932BE3" w:rsidRPr="004618D5" w:rsidRDefault="00932BE3" w:rsidP="004618D5">
      <w:pPr>
        <w:pStyle w:val="OpiHA"/>
        <w:rPr>
          <w:lang w:val="fr-FR"/>
        </w:rPr>
      </w:pPr>
      <w:r w:rsidRPr="004618D5">
        <w:rPr>
          <w:lang w:val="fr-FR"/>
        </w:rPr>
        <w:t>I.  La présente affaire n</w:t>
      </w:r>
      <w:r w:rsidR="004618D5" w:rsidRPr="004618D5">
        <w:rPr>
          <w:lang w:val="fr-FR"/>
        </w:rPr>
        <w:t>’</w:t>
      </w:r>
      <w:r w:rsidRPr="004618D5">
        <w:rPr>
          <w:lang w:val="fr-FR"/>
        </w:rPr>
        <w:t>implique pas une discrimination</w:t>
      </w:r>
    </w:p>
    <w:p w:rsidR="00932BE3" w:rsidRPr="004618D5" w:rsidRDefault="00932BE3" w:rsidP="004618D5">
      <w:pPr>
        <w:pStyle w:val="OpiH1"/>
        <w:rPr>
          <w:lang w:val="fr-FR"/>
        </w:rPr>
      </w:pPr>
      <w:r w:rsidRPr="004618D5">
        <w:rPr>
          <w:lang w:val="fr-FR"/>
        </w:rPr>
        <w:t>A.  Recevabilité</w:t>
      </w:r>
    </w:p>
    <w:p w:rsidR="00932BE3" w:rsidRPr="004618D5" w:rsidRDefault="00932BE3" w:rsidP="004618D5">
      <w:pPr>
        <w:pStyle w:val="OpiPara"/>
        <w:rPr>
          <w:lang w:val="fr-FR"/>
        </w:rPr>
      </w:pPr>
      <w:r w:rsidRPr="004618D5">
        <w:rPr>
          <w:lang w:val="fr-FR"/>
        </w:rPr>
        <w:t>2.  Il faut préciser, tout d</w:t>
      </w:r>
      <w:r w:rsidR="004618D5" w:rsidRPr="004618D5">
        <w:rPr>
          <w:lang w:val="fr-FR"/>
        </w:rPr>
        <w:t>’</w:t>
      </w:r>
      <w:r w:rsidRPr="004618D5">
        <w:rPr>
          <w:lang w:val="fr-FR"/>
        </w:rPr>
        <w:t>abord, que l</w:t>
      </w:r>
      <w:r w:rsidR="004618D5" w:rsidRPr="004618D5">
        <w:rPr>
          <w:lang w:val="fr-FR"/>
        </w:rPr>
        <w:t>’</w:t>
      </w:r>
      <w:r w:rsidRPr="004618D5">
        <w:rPr>
          <w:lang w:val="fr-FR"/>
        </w:rPr>
        <w:t>arrêt a correctement établi que « les faits du litige, étant avérés entre le 18 octobre 2004 et juillet 2009, tombent sous l</w:t>
      </w:r>
      <w:r w:rsidR="004618D5" w:rsidRPr="004618D5">
        <w:rPr>
          <w:lang w:val="fr-FR"/>
        </w:rPr>
        <w:t>’</w:t>
      </w:r>
      <w:r w:rsidRPr="004618D5">
        <w:rPr>
          <w:lang w:val="fr-FR"/>
        </w:rPr>
        <w:t>empire de l</w:t>
      </w:r>
      <w:r w:rsidR="004618D5" w:rsidRPr="004618D5">
        <w:rPr>
          <w:lang w:val="fr-FR"/>
        </w:rPr>
        <w:t>’</w:t>
      </w:r>
      <w:r w:rsidRPr="004618D5">
        <w:rPr>
          <w:lang w:val="fr-FR"/>
        </w:rPr>
        <w:t>article 8 de la Convention et que l</w:t>
      </w:r>
      <w:r w:rsidR="004618D5" w:rsidRPr="004618D5">
        <w:rPr>
          <w:lang w:val="fr-FR"/>
        </w:rPr>
        <w:t>’</w:t>
      </w:r>
      <w:r w:rsidRPr="004618D5">
        <w:rPr>
          <w:lang w:val="fr-FR"/>
        </w:rPr>
        <w:t>article</w:t>
      </w:r>
      <w:r w:rsidR="00C95C01" w:rsidRPr="004618D5">
        <w:rPr>
          <w:lang w:val="fr-FR"/>
        </w:rPr>
        <w:t> </w:t>
      </w:r>
      <w:r w:rsidRPr="004618D5">
        <w:rPr>
          <w:lang w:val="fr-FR"/>
        </w:rPr>
        <w:t>14, combiné avec cette disposition, trouve à s</w:t>
      </w:r>
      <w:r w:rsidR="004618D5" w:rsidRPr="004618D5">
        <w:rPr>
          <w:lang w:val="fr-FR"/>
        </w:rPr>
        <w:t>’</w:t>
      </w:r>
      <w:r w:rsidRPr="004618D5">
        <w:rPr>
          <w:lang w:val="fr-FR"/>
        </w:rPr>
        <w:t>appliquer » (paragraphe</w:t>
      </w:r>
      <w:r w:rsidR="008A246F" w:rsidRPr="004618D5">
        <w:rPr>
          <w:lang w:val="fr-FR"/>
        </w:rPr>
        <w:t> </w:t>
      </w:r>
      <w:r w:rsidRPr="004618D5">
        <w:rPr>
          <w:lang w:val="fr-FR"/>
        </w:rPr>
        <w:t>63). Autrement dit, je souscris volontiers au constat relatif à l</w:t>
      </w:r>
      <w:r w:rsidR="004618D5" w:rsidRPr="004618D5">
        <w:rPr>
          <w:lang w:val="fr-FR"/>
        </w:rPr>
        <w:t>’</w:t>
      </w:r>
      <w:r w:rsidRPr="004618D5">
        <w:rPr>
          <w:lang w:val="fr-FR"/>
        </w:rPr>
        <w:t>applicabilité de l</w:t>
      </w:r>
      <w:r w:rsidR="004618D5" w:rsidRPr="004618D5">
        <w:rPr>
          <w:lang w:val="fr-FR"/>
        </w:rPr>
        <w:t>’</w:t>
      </w:r>
      <w:r w:rsidRPr="004618D5">
        <w:rPr>
          <w:lang w:val="fr-FR"/>
        </w:rPr>
        <w:t>article 14 de la Convention combiné avec l</w:t>
      </w:r>
      <w:r w:rsidR="004618D5" w:rsidRPr="004618D5">
        <w:rPr>
          <w:lang w:val="fr-FR"/>
        </w:rPr>
        <w:t>’</w:t>
      </w:r>
      <w:r w:rsidRPr="004618D5">
        <w:rPr>
          <w:lang w:val="fr-FR"/>
        </w:rPr>
        <w:t>article 8.</w:t>
      </w:r>
    </w:p>
    <w:p w:rsidR="00932BE3" w:rsidRPr="004618D5" w:rsidRDefault="00932BE3" w:rsidP="004618D5">
      <w:pPr>
        <w:pStyle w:val="OpiH1"/>
        <w:rPr>
          <w:lang w:val="fr-FR"/>
        </w:rPr>
      </w:pPr>
      <w:r w:rsidRPr="004618D5">
        <w:rPr>
          <w:lang w:val="fr-FR"/>
        </w:rPr>
        <w:t>B.  Fond</w:t>
      </w:r>
    </w:p>
    <w:p w:rsidR="004618D5" w:rsidRPr="004618D5" w:rsidRDefault="00932BE3" w:rsidP="004618D5">
      <w:pPr>
        <w:pStyle w:val="OpiHa0"/>
        <w:rPr>
          <w:lang w:val="fr-FR"/>
        </w:rPr>
      </w:pPr>
      <w:r w:rsidRPr="004618D5">
        <w:rPr>
          <w:lang w:val="fr-FR"/>
        </w:rPr>
        <w:t>1.  Les deux facettes du principe de non-discrimination</w:t>
      </w:r>
    </w:p>
    <w:p w:rsidR="004618D5" w:rsidRPr="004618D5" w:rsidRDefault="00932BE3" w:rsidP="004618D5">
      <w:pPr>
        <w:pStyle w:val="OpiPara"/>
        <w:rPr>
          <w:lang w:val="fr-FR"/>
        </w:rPr>
      </w:pPr>
      <w:r w:rsidRPr="004618D5">
        <w:rPr>
          <w:lang w:val="fr-FR"/>
        </w:rPr>
        <w:t>3.  Concernant le fond de cette question, l</w:t>
      </w:r>
      <w:r w:rsidR="004618D5" w:rsidRPr="004618D5">
        <w:rPr>
          <w:lang w:val="fr-FR"/>
        </w:rPr>
        <w:t>’</w:t>
      </w:r>
      <w:r w:rsidRPr="004618D5">
        <w:rPr>
          <w:lang w:val="fr-FR"/>
        </w:rPr>
        <w:t>arrêt rappelle les deux facettes du principe de non-discrimination telles qu</w:t>
      </w:r>
      <w:r w:rsidR="004618D5" w:rsidRPr="004618D5">
        <w:rPr>
          <w:lang w:val="fr-FR"/>
        </w:rPr>
        <w:t>’</w:t>
      </w:r>
      <w:r w:rsidRPr="004618D5">
        <w:rPr>
          <w:lang w:val="fr-FR"/>
        </w:rPr>
        <w:t>elles résultent de la jurisprudence de la Cour. On sait, en effet, qu</w:t>
      </w:r>
      <w:r w:rsidR="004618D5" w:rsidRPr="004618D5">
        <w:rPr>
          <w:lang w:val="fr-FR"/>
        </w:rPr>
        <w:t>’</w:t>
      </w:r>
      <w:r w:rsidRPr="004618D5">
        <w:rPr>
          <w:lang w:val="fr-FR"/>
        </w:rPr>
        <w:t>une question peut se poser au regard de l</w:t>
      </w:r>
      <w:r w:rsidR="004618D5" w:rsidRPr="004618D5">
        <w:rPr>
          <w:lang w:val="fr-FR"/>
        </w:rPr>
        <w:t>’</w:t>
      </w:r>
      <w:r w:rsidRPr="004618D5">
        <w:rPr>
          <w:lang w:val="fr-FR"/>
        </w:rPr>
        <w:t>article 14 lorsqu</w:t>
      </w:r>
      <w:r w:rsidR="004618D5" w:rsidRPr="004618D5">
        <w:rPr>
          <w:lang w:val="fr-FR"/>
        </w:rPr>
        <w:t>’</w:t>
      </w:r>
      <w:r w:rsidR="00790C5C" w:rsidRPr="004618D5">
        <w:rPr>
          <w:lang w:val="fr-FR"/>
        </w:rPr>
        <w:t>il existe : a) </w:t>
      </w:r>
      <w:r w:rsidRPr="004618D5">
        <w:rPr>
          <w:lang w:val="fr-FR"/>
        </w:rPr>
        <w:t>un traitement différent de personnes placées dans des situ</w:t>
      </w:r>
      <w:r w:rsidR="00790C5C" w:rsidRPr="004618D5">
        <w:rPr>
          <w:lang w:val="fr-FR"/>
        </w:rPr>
        <w:t>ations comparables ; ou bien b) </w:t>
      </w:r>
      <w:r w:rsidRPr="004618D5">
        <w:rPr>
          <w:lang w:val="fr-FR"/>
        </w:rPr>
        <w:t>un traitement identique de personnes se trouvant dans des situations différentes (paragraphe</w:t>
      </w:r>
      <w:r w:rsidR="00FB1035" w:rsidRPr="004618D5">
        <w:rPr>
          <w:lang w:val="fr-FR"/>
        </w:rPr>
        <w:t> </w:t>
      </w:r>
      <w:r w:rsidRPr="004618D5">
        <w:rPr>
          <w:lang w:val="fr-FR"/>
        </w:rPr>
        <w:t>81 de l</w:t>
      </w:r>
      <w:r w:rsidR="004618D5" w:rsidRPr="004618D5">
        <w:rPr>
          <w:lang w:val="fr-FR"/>
        </w:rPr>
        <w:t>’</w:t>
      </w:r>
      <w:r w:rsidRPr="004618D5">
        <w:rPr>
          <w:lang w:val="fr-FR"/>
        </w:rPr>
        <w:t>arrêt et les références citées). Quand il applique ces principes au cas d</w:t>
      </w:r>
      <w:r w:rsidR="004618D5" w:rsidRPr="004618D5">
        <w:rPr>
          <w:lang w:val="fr-FR"/>
        </w:rPr>
        <w:t>’</w:t>
      </w:r>
      <w:r w:rsidRPr="004618D5">
        <w:rPr>
          <w:lang w:val="fr-FR"/>
        </w:rPr>
        <w:t>espèce, l</w:t>
      </w:r>
      <w:r w:rsidR="004618D5" w:rsidRPr="004618D5">
        <w:rPr>
          <w:lang w:val="fr-FR"/>
        </w:rPr>
        <w:t>’</w:t>
      </w:r>
      <w:r w:rsidRPr="004618D5">
        <w:rPr>
          <w:lang w:val="fr-FR"/>
        </w:rPr>
        <w:t>arrêt se place sur le terrain du second volet du principe de non-discrimination, mis en évidence pour la première fois dans l</w:t>
      </w:r>
      <w:r w:rsidR="004618D5" w:rsidRPr="004618D5">
        <w:rPr>
          <w:lang w:val="fr-FR"/>
        </w:rPr>
        <w:t>’</w:t>
      </w:r>
      <w:r w:rsidRPr="004618D5">
        <w:rPr>
          <w:lang w:val="fr-FR"/>
        </w:rPr>
        <w:t xml:space="preserve">arrêt </w:t>
      </w:r>
      <w:r w:rsidRPr="004618D5">
        <w:rPr>
          <w:i/>
          <w:lang w:val="fr-FR"/>
        </w:rPr>
        <w:t>Thlimmenos c. Grèce</w:t>
      </w:r>
      <w:r w:rsidRPr="004618D5">
        <w:rPr>
          <w:lang w:val="fr-FR"/>
        </w:rPr>
        <w:t xml:space="preserve"> ([GC], n</w:t>
      </w:r>
      <w:r w:rsidRPr="004618D5">
        <w:rPr>
          <w:vertAlign w:val="superscript"/>
          <w:lang w:val="fr-FR"/>
        </w:rPr>
        <w:t>o</w:t>
      </w:r>
      <w:r w:rsidRPr="004618D5">
        <w:rPr>
          <w:lang w:val="fr-FR"/>
        </w:rPr>
        <w:t xml:space="preserve"> 34369/97, § 44, CEDH 2000-IV) et réitéré à diverses reprises depuis lors.</w:t>
      </w:r>
    </w:p>
    <w:p w:rsidR="00932BE3" w:rsidRPr="004618D5" w:rsidRDefault="00932BE3" w:rsidP="004618D5">
      <w:pPr>
        <w:pStyle w:val="OpiHa0"/>
        <w:rPr>
          <w:lang w:val="fr-FR"/>
        </w:rPr>
      </w:pPr>
      <w:r w:rsidRPr="004618D5">
        <w:rPr>
          <w:lang w:val="fr-FR"/>
        </w:rPr>
        <w:t>2.  Selon la majorité, la situation des couples homosexuels non mariés ne serait pas comparable à celle des couples hétérosexuels non mariés</w:t>
      </w:r>
    </w:p>
    <w:p w:rsidR="004618D5" w:rsidRPr="004618D5" w:rsidRDefault="00932BE3" w:rsidP="004618D5">
      <w:pPr>
        <w:pStyle w:val="OpiPara"/>
        <w:rPr>
          <w:lang w:val="fr-FR"/>
        </w:rPr>
      </w:pPr>
      <w:r w:rsidRPr="004618D5">
        <w:rPr>
          <w:lang w:val="fr-FR"/>
        </w:rPr>
        <w:t>4.  En effet, au paragraphe 82, l</w:t>
      </w:r>
      <w:r w:rsidR="004618D5" w:rsidRPr="004618D5">
        <w:rPr>
          <w:lang w:val="fr-FR"/>
        </w:rPr>
        <w:t>’</w:t>
      </w:r>
      <w:r w:rsidRPr="004618D5">
        <w:rPr>
          <w:lang w:val="fr-FR"/>
        </w:rPr>
        <w:t>arrêt affirme qu</w:t>
      </w:r>
      <w:r w:rsidR="004618D5" w:rsidRPr="004618D5">
        <w:rPr>
          <w:lang w:val="fr-FR"/>
        </w:rPr>
        <w:t>’</w:t>
      </w:r>
      <w:r w:rsidRPr="004618D5">
        <w:rPr>
          <w:lang w:val="fr-FR"/>
        </w:rPr>
        <w:t>« il n</w:t>
      </w:r>
      <w:r w:rsidR="004618D5" w:rsidRPr="004618D5">
        <w:rPr>
          <w:lang w:val="fr-FR"/>
        </w:rPr>
        <w:t>’</w:t>
      </w:r>
      <w:r w:rsidRPr="004618D5">
        <w:rPr>
          <w:lang w:val="fr-FR"/>
        </w:rPr>
        <w:t>apparaît pas que les requérants, un couple homosexuel non marié, aient été traités différemment d</w:t>
      </w:r>
      <w:r w:rsidR="004618D5" w:rsidRPr="004618D5">
        <w:rPr>
          <w:lang w:val="fr-FR"/>
        </w:rPr>
        <w:t>’</w:t>
      </w:r>
      <w:r w:rsidRPr="004618D5">
        <w:rPr>
          <w:lang w:val="fr-FR"/>
        </w:rPr>
        <w:t>un couple hétérosexuel non marié. (</w:t>
      </w:r>
      <w:r w:rsidR="004618D5" w:rsidRPr="004618D5">
        <w:rPr>
          <w:lang w:val="fr-FR"/>
        </w:rPr>
        <w:t>...</w:t>
      </w:r>
      <w:r w:rsidRPr="004618D5">
        <w:rPr>
          <w:lang w:val="fr-FR"/>
        </w:rPr>
        <w:t>) l</w:t>
      </w:r>
      <w:r w:rsidR="004618D5" w:rsidRPr="004618D5">
        <w:rPr>
          <w:lang w:val="fr-FR"/>
        </w:rPr>
        <w:t>’</w:t>
      </w:r>
      <w:r w:rsidRPr="004618D5">
        <w:rPr>
          <w:lang w:val="fr-FR"/>
        </w:rPr>
        <w:t xml:space="preserve">exclusion des partenaires non mariés du droit à obtenir le permis [de séjour] concernait tant les couples de même sexe que ceux de sexe opposé ». Cependant, </w:t>
      </w:r>
      <w:r w:rsidRPr="004618D5">
        <w:rPr>
          <w:lang w:val="fr-FR"/>
        </w:rPr>
        <w:lastRenderedPageBreak/>
        <w:t>l</w:t>
      </w:r>
      <w:r w:rsidR="004618D5" w:rsidRPr="004618D5">
        <w:rPr>
          <w:lang w:val="fr-FR"/>
        </w:rPr>
        <w:t>’</w:t>
      </w:r>
      <w:r w:rsidRPr="004618D5">
        <w:rPr>
          <w:lang w:val="fr-FR"/>
        </w:rPr>
        <w:t>arrêt ajoute que la situation des requérants était différente de celle d</w:t>
      </w:r>
      <w:r w:rsidR="004618D5" w:rsidRPr="004618D5">
        <w:rPr>
          <w:lang w:val="fr-FR"/>
        </w:rPr>
        <w:t>’</w:t>
      </w:r>
      <w:r w:rsidRPr="004618D5">
        <w:rPr>
          <w:lang w:val="fr-FR"/>
        </w:rPr>
        <w:t>un couple hétérosexuel non marié étant donné qu</w:t>
      </w:r>
      <w:r w:rsidR="004618D5" w:rsidRPr="004618D5">
        <w:rPr>
          <w:lang w:val="fr-FR"/>
        </w:rPr>
        <w:t>’</w:t>
      </w:r>
      <w:r w:rsidRPr="004618D5">
        <w:rPr>
          <w:lang w:val="fr-FR"/>
        </w:rPr>
        <w:t>un tel couple avait la possibilité de se marier – et de « régulariser » ainsi sa relation – alors que ce n</w:t>
      </w:r>
      <w:r w:rsidR="004618D5" w:rsidRPr="004618D5">
        <w:rPr>
          <w:lang w:val="fr-FR"/>
        </w:rPr>
        <w:t>’</w:t>
      </w:r>
      <w:r w:rsidRPr="004618D5">
        <w:rPr>
          <w:lang w:val="fr-FR"/>
        </w:rPr>
        <w:t>était pas le cas pour un couple homosexuel. La majorité rappelle également que, durant la période litigieuse (à savoir entre 2004 et 2009), ni les couples hétérosexuels ni les couples homosexuels n</w:t>
      </w:r>
      <w:r w:rsidR="004618D5" w:rsidRPr="004618D5">
        <w:rPr>
          <w:lang w:val="fr-FR"/>
        </w:rPr>
        <w:t>’</w:t>
      </w:r>
      <w:r w:rsidRPr="004618D5">
        <w:rPr>
          <w:lang w:val="fr-FR"/>
        </w:rPr>
        <w:t>avaient la possibilité d</w:t>
      </w:r>
      <w:r w:rsidR="004618D5" w:rsidRPr="004618D5">
        <w:rPr>
          <w:lang w:val="fr-FR"/>
        </w:rPr>
        <w:t>’</w:t>
      </w:r>
      <w:r w:rsidRPr="004618D5">
        <w:rPr>
          <w:lang w:val="fr-FR"/>
        </w:rPr>
        <w:t>avoir accès à une union civile ou à un partenariat enregistré (paragraphe 83 de l</w:t>
      </w:r>
      <w:r w:rsidR="004618D5" w:rsidRPr="004618D5">
        <w:rPr>
          <w:lang w:val="fr-FR"/>
        </w:rPr>
        <w:t>’</w:t>
      </w:r>
      <w:r w:rsidRPr="004618D5">
        <w:rPr>
          <w:lang w:val="fr-FR"/>
        </w:rPr>
        <w:t>arrêt). De surcroît, les requérants, une fois installés aux Pays-Bas – État qui permet le mariage homosexuel – ont décidé de se marier. Le mariage a effectivement eu lieu le 8 mai 2010. Dans ces conditions, la majorité estime que la situation des requérants « ne saurait pas non plus être comparée à celle d</w:t>
      </w:r>
      <w:r w:rsidR="004618D5" w:rsidRPr="004618D5">
        <w:rPr>
          <w:lang w:val="fr-FR"/>
        </w:rPr>
        <w:t>’</w:t>
      </w:r>
      <w:r w:rsidRPr="004618D5">
        <w:rPr>
          <w:lang w:val="fr-FR"/>
        </w:rPr>
        <w:t>un couple hétérosexuel qui, pour des raisons d</w:t>
      </w:r>
      <w:r w:rsidR="004618D5" w:rsidRPr="004618D5">
        <w:rPr>
          <w:lang w:val="fr-FR"/>
        </w:rPr>
        <w:t>’</w:t>
      </w:r>
      <w:r w:rsidRPr="004618D5">
        <w:rPr>
          <w:lang w:val="fr-FR"/>
        </w:rPr>
        <w:t>ordre personnel, ne souhaite pas s</w:t>
      </w:r>
      <w:r w:rsidR="004618D5" w:rsidRPr="004618D5">
        <w:rPr>
          <w:lang w:val="fr-FR"/>
        </w:rPr>
        <w:t>’</w:t>
      </w:r>
      <w:r w:rsidRPr="004618D5">
        <w:rPr>
          <w:lang w:val="fr-FR"/>
        </w:rPr>
        <w:t>engager dans un mariage ou dans une union civile » (paragraphe 84 de l</w:t>
      </w:r>
      <w:r w:rsidR="004618D5" w:rsidRPr="004618D5">
        <w:rPr>
          <w:lang w:val="fr-FR"/>
        </w:rPr>
        <w:t>’</w:t>
      </w:r>
      <w:r w:rsidRPr="004618D5">
        <w:rPr>
          <w:lang w:val="fr-FR"/>
        </w:rPr>
        <w:t>arrêt).</w:t>
      </w:r>
    </w:p>
    <w:p w:rsidR="00932BE3" w:rsidRPr="004618D5" w:rsidRDefault="00932BE3" w:rsidP="004618D5">
      <w:pPr>
        <w:pStyle w:val="OpiHa0"/>
        <w:rPr>
          <w:lang w:val="fr-FR"/>
        </w:rPr>
      </w:pPr>
      <w:r w:rsidRPr="004618D5">
        <w:rPr>
          <w:lang w:val="fr-FR"/>
        </w:rPr>
        <w:t>3.  La position de la majorité revient à accepter que la situation des couples homosexuels non mariés soit comparable à celle des couples hétérosexuels mariés</w:t>
      </w:r>
    </w:p>
    <w:p w:rsidR="004618D5" w:rsidRPr="004618D5" w:rsidRDefault="00932BE3" w:rsidP="004618D5">
      <w:pPr>
        <w:pStyle w:val="OpiPara"/>
        <w:rPr>
          <w:lang w:val="fr-FR"/>
        </w:rPr>
      </w:pPr>
      <w:r w:rsidRPr="004618D5">
        <w:rPr>
          <w:lang w:val="fr-FR"/>
        </w:rPr>
        <w:t>5.  Avant d</w:t>
      </w:r>
      <w:r w:rsidR="004618D5" w:rsidRPr="004618D5">
        <w:rPr>
          <w:lang w:val="fr-FR"/>
        </w:rPr>
        <w:t>’</w:t>
      </w:r>
      <w:r w:rsidRPr="004618D5">
        <w:rPr>
          <w:lang w:val="fr-FR"/>
        </w:rPr>
        <w:t>essayer de répondre à cette question, il importe de noter la thèse des requérants selon laquelle « un consensus émerge dans les soc</w:t>
      </w:r>
      <w:r w:rsidR="004618D5" w:rsidRPr="004618D5">
        <w:rPr>
          <w:lang w:val="fr-FR"/>
        </w:rPr>
        <w:t>iétés démocratiques qui veut (...)</w:t>
      </w:r>
      <w:r w:rsidRPr="004618D5">
        <w:rPr>
          <w:lang w:val="fr-FR"/>
        </w:rPr>
        <w:t xml:space="preserve"> qu</w:t>
      </w:r>
      <w:r w:rsidR="004618D5" w:rsidRPr="004618D5">
        <w:rPr>
          <w:lang w:val="fr-FR"/>
        </w:rPr>
        <w:t>’</w:t>
      </w:r>
      <w:r w:rsidRPr="004618D5">
        <w:rPr>
          <w:lang w:val="fr-FR"/>
        </w:rPr>
        <w:t>un gouvernement ne puisse pas réserver un certain droit ou avantage aux couples mariés et en nier l</w:t>
      </w:r>
      <w:r w:rsidR="004618D5" w:rsidRPr="004618D5">
        <w:rPr>
          <w:lang w:val="fr-FR"/>
        </w:rPr>
        <w:t>’</w:t>
      </w:r>
      <w:r w:rsidRPr="004618D5">
        <w:rPr>
          <w:lang w:val="fr-FR"/>
        </w:rPr>
        <w:t>accès aux couples homosexuels sous prétexte que les personnes en question ne sont pas mariées » (paragraphe 71 de l</w:t>
      </w:r>
      <w:r w:rsidR="004618D5" w:rsidRPr="004618D5">
        <w:rPr>
          <w:lang w:val="fr-FR"/>
        </w:rPr>
        <w:t>’</w:t>
      </w:r>
      <w:r w:rsidRPr="004618D5">
        <w:rPr>
          <w:lang w:val="fr-FR"/>
        </w:rPr>
        <w:t>arrêt). En d</w:t>
      </w:r>
      <w:r w:rsidR="004618D5" w:rsidRPr="004618D5">
        <w:rPr>
          <w:lang w:val="fr-FR"/>
        </w:rPr>
        <w:t>’</w:t>
      </w:r>
      <w:r w:rsidRPr="004618D5">
        <w:rPr>
          <w:lang w:val="fr-FR"/>
        </w:rPr>
        <w:t>autres termes, pour les requérants, la situation des couples homosexuels non mariés devrait être comparée à celle des couples mariés (hétérosexuels ou homosexuels). Toute différence de traitement entre ces deux catégories – couples homosexuels non mariés et couples mariés – serait discriminatoire.</w:t>
      </w:r>
    </w:p>
    <w:p w:rsidR="00932BE3" w:rsidRPr="004618D5" w:rsidRDefault="00932BE3" w:rsidP="004618D5">
      <w:pPr>
        <w:pStyle w:val="OpiPara"/>
        <w:rPr>
          <w:lang w:val="fr-FR"/>
        </w:rPr>
      </w:pPr>
      <w:r w:rsidRPr="004618D5">
        <w:rPr>
          <w:lang w:val="fr-FR"/>
        </w:rPr>
        <w:t>6.  Même si elle est formulée différemment, l</w:t>
      </w:r>
      <w:r w:rsidR="004618D5" w:rsidRPr="004618D5">
        <w:rPr>
          <w:lang w:val="fr-FR"/>
        </w:rPr>
        <w:t>’</w:t>
      </w:r>
      <w:r w:rsidRPr="004618D5">
        <w:rPr>
          <w:lang w:val="fr-FR"/>
        </w:rPr>
        <w:t>approche de la majorité est en substance la même que celle des requérants. En effet, dire que la situation des couples homosexuels non mariés n</w:t>
      </w:r>
      <w:r w:rsidR="004618D5" w:rsidRPr="004618D5">
        <w:rPr>
          <w:lang w:val="fr-FR"/>
        </w:rPr>
        <w:t>’</w:t>
      </w:r>
      <w:r w:rsidRPr="004618D5">
        <w:rPr>
          <w:lang w:val="fr-FR"/>
        </w:rPr>
        <w:t xml:space="preserve">est pas comparable à celle des couples hétérosexuels non mariés parce que ces derniers peuvent se marier revient en réalité à accepter </w:t>
      </w:r>
      <w:r w:rsidRPr="004618D5">
        <w:rPr>
          <w:i/>
          <w:lang w:val="fr-FR"/>
        </w:rPr>
        <w:t>a contrario</w:t>
      </w:r>
      <w:r w:rsidRPr="004618D5">
        <w:rPr>
          <w:lang w:val="fr-FR"/>
        </w:rPr>
        <w:t xml:space="preserve"> que, au sens de l</w:t>
      </w:r>
      <w:r w:rsidR="004618D5" w:rsidRPr="004618D5">
        <w:rPr>
          <w:lang w:val="fr-FR"/>
        </w:rPr>
        <w:t>’</w:t>
      </w:r>
      <w:r w:rsidRPr="004618D5">
        <w:rPr>
          <w:lang w:val="fr-FR"/>
        </w:rPr>
        <w:t>article</w:t>
      </w:r>
      <w:r w:rsidR="008C2C7B" w:rsidRPr="004618D5">
        <w:rPr>
          <w:lang w:val="fr-FR"/>
        </w:rPr>
        <w:t> </w:t>
      </w:r>
      <w:r w:rsidRPr="004618D5">
        <w:rPr>
          <w:lang w:val="fr-FR"/>
        </w:rPr>
        <w:t>14 de la Convention, la situation des couples homosexuels non mariés soit comparée à celle des couples mariés. Cette manière de voir semble être corroborée par le paragraphe 91 de l</w:t>
      </w:r>
      <w:r w:rsidR="004618D5" w:rsidRPr="004618D5">
        <w:rPr>
          <w:lang w:val="fr-FR"/>
        </w:rPr>
        <w:t>’</w:t>
      </w:r>
      <w:r w:rsidRPr="004618D5">
        <w:rPr>
          <w:lang w:val="fr-FR"/>
        </w:rPr>
        <w:t>arrêt, où il est éno</w:t>
      </w:r>
      <w:r w:rsidR="004618D5" w:rsidRPr="004618D5">
        <w:rPr>
          <w:lang w:val="fr-FR"/>
        </w:rPr>
        <w:t>ncé que : « La Cour doit donc (...</w:t>
      </w:r>
      <w:r w:rsidRPr="004618D5">
        <w:rPr>
          <w:lang w:val="fr-FR"/>
        </w:rPr>
        <w:t>) déterminer si, dans le cadre de la procédure visant à l</w:t>
      </w:r>
      <w:r w:rsidR="004618D5" w:rsidRPr="004618D5">
        <w:rPr>
          <w:lang w:val="fr-FR"/>
        </w:rPr>
        <w:t>’</w:t>
      </w:r>
      <w:r w:rsidRPr="004618D5">
        <w:rPr>
          <w:lang w:val="fr-FR"/>
        </w:rPr>
        <w:t>obtention du permis de séjour pour raison familiale, le fait de n</w:t>
      </w:r>
      <w:r w:rsidR="004618D5" w:rsidRPr="004618D5">
        <w:rPr>
          <w:lang w:val="fr-FR"/>
        </w:rPr>
        <w:t>’</w:t>
      </w:r>
      <w:r w:rsidRPr="004618D5">
        <w:rPr>
          <w:lang w:val="fr-FR"/>
        </w:rPr>
        <w:t>avoir pas traité les requérants différemment des couples hétérosexuels n</w:t>
      </w:r>
      <w:r w:rsidR="004618D5" w:rsidRPr="004618D5">
        <w:rPr>
          <w:lang w:val="fr-FR"/>
        </w:rPr>
        <w:t>’</w:t>
      </w:r>
      <w:r w:rsidRPr="004618D5">
        <w:rPr>
          <w:lang w:val="fr-FR"/>
        </w:rPr>
        <w:t xml:space="preserve">ayant pas régularisé leur situation poursuivait un but légitime ». Étant donné que, en Italie, le seul moyen pour les couples hétérosexuels de « régulariser leur situation » est le mariage, le passage précité conduit à (ré)affirmer que, dans le cadre de la procédure litigieuse, les couples homosexuels non mariés, </w:t>
      </w:r>
      <w:r w:rsidRPr="004618D5">
        <w:rPr>
          <w:lang w:val="fr-FR"/>
        </w:rPr>
        <w:lastRenderedPageBreak/>
        <w:t>comme les requérants, devaient être comparés non pas aux couples hétérosexuels non mariés mais aux couples hétérosexuels mariés.</w:t>
      </w:r>
    </w:p>
    <w:p w:rsidR="00932BE3" w:rsidRPr="004618D5" w:rsidRDefault="00932BE3" w:rsidP="004618D5">
      <w:pPr>
        <w:pStyle w:val="OpiPara"/>
        <w:rPr>
          <w:lang w:val="fr-FR"/>
        </w:rPr>
      </w:pPr>
      <w:r w:rsidRPr="004618D5">
        <w:rPr>
          <w:lang w:val="fr-FR"/>
        </w:rPr>
        <w:t>7.  À mon sens, la question se pose de savoir si cette approche est compatible avec la jurisprudence adoptée par la Cour jusqu</w:t>
      </w:r>
      <w:r w:rsidR="004618D5" w:rsidRPr="004618D5">
        <w:rPr>
          <w:lang w:val="fr-FR"/>
        </w:rPr>
        <w:t>’</w:t>
      </w:r>
      <w:r w:rsidRPr="004618D5">
        <w:rPr>
          <w:lang w:val="fr-FR"/>
        </w:rPr>
        <w:t>à ce jour ou bien si elle s</w:t>
      </w:r>
      <w:r w:rsidR="004618D5" w:rsidRPr="004618D5">
        <w:rPr>
          <w:lang w:val="fr-FR"/>
        </w:rPr>
        <w:t>’</w:t>
      </w:r>
      <w:r w:rsidRPr="004618D5">
        <w:rPr>
          <w:lang w:val="fr-FR"/>
        </w:rPr>
        <w:t>écarte de la ligne jurisprudentielle suivie tant par les chambres que par la Grande Chambre.</w:t>
      </w:r>
    </w:p>
    <w:p w:rsidR="00932BE3" w:rsidRPr="004618D5" w:rsidRDefault="00932BE3" w:rsidP="004618D5">
      <w:pPr>
        <w:pStyle w:val="OpiHa0"/>
        <w:rPr>
          <w:lang w:val="fr-FR"/>
        </w:rPr>
      </w:pPr>
      <w:r w:rsidRPr="004618D5">
        <w:rPr>
          <w:lang w:val="fr-FR"/>
        </w:rPr>
        <w:t>4.  Cette approche est-elle compatible avec la jurisprudence de la Cour ?</w:t>
      </w:r>
    </w:p>
    <w:p w:rsidR="00932BE3" w:rsidRPr="004618D5" w:rsidRDefault="00932BE3" w:rsidP="004618D5">
      <w:pPr>
        <w:pStyle w:val="OpiHi"/>
        <w:rPr>
          <w:lang w:val="fr-FR"/>
        </w:rPr>
      </w:pPr>
      <w:r w:rsidRPr="004618D5">
        <w:rPr>
          <w:lang w:val="fr-FR"/>
        </w:rPr>
        <w:t>a)  La situation des couples mariés n</w:t>
      </w:r>
      <w:r w:rsidR="004618D5" w:rsidRPr="004618D5">
        <w:rPr>
          <w:lang w:val="fr-FR"/>
        </w:rPr>
        <w:t>’</w:t>
      </w:r>
      <w:r w:rsidRPr="004618D5">
        <w:rPr>
          <w:lang w:val="fr-FR"/>
        </w:rPr>
        <w:t>est pas comparable à celle des couples non mariés</w:t>
      </w:r>
    </w:p>
    <w:p w:rsidR="00932BE3" w:rsidRPr="004618D5" w:rsidRDefault="00932BE3" w:rsidP="004618D5">
      <w:pPr>
        <w:pStyle w:val="OpiPara"/>
        <w:rPr>
          <w:lang w:val="fr-FR"/>
        </w:rPr>
      </w:pPr>
      <w:r w:rsidRPr="004618D5">
        <w:rPr>
          <w:lang w:val="fr-FR"/>
        </w:rPr>
        <w:t>8.  Pour tenter de répondre à cette question, on rappellera tout d</w:t>
      </w:r>
      <w:r w:rsidR="004618D5" w:rsidRPr="004618D5">
        <w:rPr>
          <w:lang w:val="fr-FR"/>
        </w:rPr>
        <w:t>’</w:t>
      </w:r>
      <w:r w:rsidRPr="004618D5">
        <w:rPr>
          <w:lang w:val="fr-FR"/>
        </w:rPr>
        <w:t>abord les termes utilisés par la Grande Chambre dans l</w:t>
      </w:r>
      <w:r w:rsidR="004618D5" w:rsidRPr="004618D5">
        <w:rPr>
          <w:lang w:val="fr-FR"/>
        </w:rPr>
        <w:t>’</w:t>
      </w:r>
      <w:r w:rsidRPr="004618D5">
        <w:rPr>
          <w:lang w:val="fr-FR"/>
        </w:rPr>
        <w:t xml:space="preserve">affaire </w:t>
      </w:r>
      <w:r w:rsidRPr="004618D5">
        <w:rPr>
          <w:i/>
          <w:lang w:val="fr-FR"/>
        </w:rPr>
        <w:t>X et autres c. Autriche</w:t>
      </w:r>
      <w:r w:rsidRPr="004618D5">
        <w:rPr>
          <w:lang w:val="fr-FR"/>
        </w:rPr>
        <w:t xml:space="preserve"> ([GC], n</w:t>
      </w:r>
      <w:r w:rsidRPr="004618D5">
        <w:rPr>
          <w:vertAlign w:val="superscript"/>
          <w:lang w:val="fr-FR"/>
        </w:rPr>
        <w:t>o</w:t>
      </w:r>
      <w:r w:rsidRPr="004618D5">
        <w:rPr>
          <w:lang w:val="fr-FR"/>
        </w:rPr>
        <w:t xml:space="preserve"> 19010/07, §§ 105-110, CEDH 2013)</w:t>
      </w:r>
      <w:r w:rsidRPr="004618D5">
        <w:rPr>
          <w:i/>
          <w:lang w:val="fr-FR"/>
        </w:rPr>
        <w:t> </w:t>
      </w:r>
      <w:r w:rsidRPr="004618D5">
        <w:rPr>
          <w:lang w:val="fr-FR"/>
        </w:rPr>
        <w:t>:</w:t>
      </w:r>
    </w:p>
    <w:p w:rsidR="00932BE3" w:rsidRPr="004618D5" w:rsidRDefault="00932BE3" w:rsidP="004618D5">
      <w:pPr>
        <w:pStyle w:val="OpiQuot"/>
        <w:rPr>
          <w:lang w:val="fr-FR"/>
        </w:rPr>
      </w:pPr>
      <w:r w:rsidRPr="004618D5">
        <w:rPr>
          <w:lang w:val="fr-FR"/>
        </w:rPr>
        <w:t>« </w:t>
      </w:r>
      <w:r w:rsidRPr="004618D5">
        <w:rPr>
          <w:i/>
          <w:lang w:val="fr-FR"/>
        </w:rPr>
        <w:t>α)  Comparaison de la situation des requérants avec celle d</w:t>
      </w:r>
      <w:r w:rsidR="004618D5" w:rsidRPr="004618D5">
        <w:rPr>
          <w:i/>
          <w:lang w:val="fr-FR"/>
        </w:rPr>
        <w:t>’</w:t>
      </w:r>
      <w:r w:rsidRPr="004618D5">
        <w:rPr>
          <w:i/>
          <w:lang w:val="fr-FR"/>
        </w:rPr>
        <w:t>un couple marié dont l</w:t>
      </w:r>
      <w:r w:rsidR="004618D5" w:rsidRPr="004618D5">
        <w:rPr>
          <w:i/>
          <w:lang w:val="fr-FR"/>
        </w:rPr>
        <w:t>’</w:t>
      </w:r>
      <w:r w:rsidRPr="004618D5">
        <w:rPr>
          <w:i/>
          <w:lang w:val="fr-FR"/>
        </w:rPr>
        <w:t>un des membres aurait souhaité adopter l</w:t>
      </w:r>
      <w:r w:rsidR="004618D5" w:rsidRPr="004618D5">
        <w:rPr>
          <w:i/>
          <w:lang w:val="fr-FR"/>
        </w:rPr>
        <w:t>’</w:t>
      </w:r>
      <w:r w:rsidRPr="004618D5">
        <w:rPr>
          <w:i/>
          <w:lang w:val="fr-FR"/>
        </w:rPr>
        <w:t>enfant de l</w:t>
      </w:r>
      <w:r w:rsidR="004618D5" w:rsidRPr="004618D5">
        <w:rPr>
          <w:i/>
          <w:lang w:val="fr-FR"/>
        </w:rPr>
        <w:t>’</w:t>
      </w:r>
      <w:r w:rsidRPr="004618D5">
        <w:rPr>
          <w:i/>
          <w:lang w:val="fr-FR"/>
        </w:rPr>
        <w:t>autre</w:t>
      </w:r>
    </w:p>
    <w:p w:rsidR="00932BE3" w:rsidRPr="004618D5" w:rsidRDefault="00932BE3" w:rsidP="004618D5">
      <w:pPr>
        <w:pStyle w:val="OpiQuot"/>
        <w:rPr>
          <w:lang w:val="fr-FR"/>
        </w:rPr>
      </w:pPr>
      <w:r w:rsidRPr="004618D5">
        <w:rPr>
          <w:lang w:val="fr-FR"/>
        </w:rPr>
        <w:t>105.  La première question qui se pose à la Cour est celle de savoir si la situation des requérants – les première et troisième requérantes, qui forment un couple homosexuel, et le fils de cette dernière – était comparable à celle d</w:t>
      </w:r>
      <w:r w:rsidR="004618D5" w:rsidRPr="004618D5">
        <w:rPr>
          <w:lang w:val="fr-FR"/>
        </w:rPr>
        <w:t>’</w:t>
      </w:r>
      <w:r w:rsidRPr="004618D5">
        <w:rPr>
          <w:lang w:val="fr-FR"/>
        </w:rPr>
        <w:t>un couple hétérosexuel marié dont l</w:t>
      </w:r>
      <w:r w:rsidR="004618D5" w:rsidRPr="004618D5">
        <w:rPr>
          <w:lang w:val="fr-FR"/>
        </w:rPr>
        <w:t>’</w:t>
      </w:r>
      <w:r w:rsidRPr="004618D5">
        <w:rPr>
          <w:lang w:val="fr-FR"/>
        </w:rPr>
        <w:t>un des membres aurait souhaité adopter l</w:t>
      </w:r>
      <w:r w:rsidR="004618D5" w:rsidRPr="004618D5">
        <w:rPr>
          <w:lang w:val="fr-FR"/>
        </w:rPr>
        <w:t>’</w:t>
      </w:r>
      <w:r w:rsidRPr="004618D5">
        <w:rPr>
          <w:lang w:val="fr-FR"/>
        </w:rPr>
        <w:t>enfant de l</w:t>
      </w:r>
      <w:r w:rsidR="004618D5" w:rsidRPr="004618D5">
        <w:rPr>
          <w:lang w:val="fr-FR"/>
        </w:rPr>
        <w:t>’</w:t>
      </w:r>
      <w:r w:rsidRPr="004618D5">
        <w:rPr>
          <w:lang w:val="fr-FR"/>
        </w:rPr>
        <w:t>autre.</w:t>
      </w:r>
    </w:p>
    <w:p w:rsidR="00932BE3" w:rsidRPr="004618D5" w:rsidRDefault="00932BE3" w:rsidP="004618D5">
      <w:pPr>
        <w:pStyle w:val="OpiQuot"/>
        <w:rPr>
          <w:lang w:val="fr-FR"/>
        </w:rPr>
      </w:pPr>
      <w:r w:rsidRPr="004618D5">
        <w:rPr>
          <w:lang w:val="fr-FR"/>
        </w:rPr>
        <w:t>106.  La Cour a récemment répondu à cette question par la négative dans l</w:t>
      </w:r>
      <w:r w:rsidR="004618D5" w:rsidRPr="004618D5">
        <w:rPr>
          <w:lang w:val="fr-FR"/>
        </w:rPr>
        <w:t>’</w:t>
      </w:r>
      <w:r w:rsidRPr="004618D5">
        <w:rPr>
          <w:lang w:val="fr-FR"/>
        </w:rPr>
        <w:t xml:space="preserve">affaire </w:t>
      </w:r>
      <w:r w:rsidRPr="004618D5">
        <w:rPr>
          <w:i/>
          <w:lang w:val="fr-FR"/>
        </w:rPr>
        <w:t>Gas et Dubois</w:t>
      </w:r>
      <w:r w:rsidRPr="004618D5">
        <w:rPr>
          <w:lang w:val="fr-FR"/>
        </w:rPr>
        <w:t>, pour des raisons qu</w:t>
      </w:r>
      <w:r w:rsidR="004618D5" w:rsidRPr="004618D5">
        <w:rPr>
          <w:lang w:val="fr-FR"/>
        </w:rPr>
        <w:t>’</w:t>
      </w:r>
      <w:r w:rsidRPr="004618D5">
        <w:rPr>
          <w:lang w:val="fr-FR"/>
        </w:rPr>
        <w:t>elle estime utile de rappeler et de réaffirmer ici. Il convient d</w:t>
      </w:r>
      <w:r w:rsidR="004618D5" w:rsidRPr="004618D5">
        <w:rPr>
          <w:lang w:val="fr-FR"/>
        </w:rPr>
        <w:t>’</w:t>
      </w:r>
      <w:r w:rsidRPr="004618D5">
        <w:rPr>
          <w:lang w:val="fr-FR"/>
        </w:rPr>
        <w:t>abord de garder à l</w:t>
      </w:r>
      <w:r w:rsidR="004618D5" w:rsidRPr="004618D5">
        <w:rPr>
          <w:lang w:val="fr-FR"/>
        </w:rPr>
        <w:t>’</w:t>
      </w:r>
      <w:r w:rsidRPr="004618D5">
        <w:rPr>
          <w:lang w:val="fr-FR"/>
        </w:rPr>
        <w:t>esprit que l</w:t>
      </w:r>
      <w:r w:rsidR="004618D5" w:rsidRPr="004618D5">
        <w:rPr>
          <w:lang w:val="fr-FR"/>
        </w:rPr>
        <w:t>’</w:t>
      </w:r>
      <w:r w:rsidRPr="004618D5">
        <w:rPr>
          <w:lang w:val="fr-FR"/>
        </w:rPr>
        <w:t>article 12 de la Convention n</w:t>
      </w:r>
      <w:r w:rsidR="004618D5" w:rsidRPr="004618D5">
        <w:rPr>
          <w:lang w:val="fr-FR"/>
        </w:rPr>
        <w:t>’</w:t>
      </w:r>
      <w:r w:rsidRPr="004618D5">
        <w:rPr>
          <w:lang w:val="fr-FR"/>
        </w:rPr>
        <w:t>impose pas aux États contractants l</w:t>
      </w:r>
      <w:r w:rsidR="004618D5" w:rsidRPr="004618D5">
        <w:rPr>
          <w:lang w:val="fr-FR"/>
        </w:rPr>
        <w:t>’</w:t>
      </w:r>
      <w:r w:rsidRPr="004618D5">
        <w:rPr>
          <w:lang w:val="fr-FR"/>
        </w:rPr>
        <w:t>obligation d</w:t>
      </w:r>
      <w:r w:rsidR="004618D5" w:rsidRPr="004618D5">
        <w:rPr>
          <w:lang w:val="fr-FR"/>
        </w:rPr>
        <w:t>’</w:t>
      </w:r>
      <w:r w:rsidRPr="004618D5">
        <w:rPr>
          <w:lang w:val="fr-FR"/>
        </w:rPr>
        <w:t>ouvrir le mariage aux couples homosexuels (</w:t>
      </w:r>
      <w:r w:rsidRPr="004618D5">
        <w:rPr>
          <w:i/>
          <w:lang w:val="fr-FR"/>
        </w:rPr>
        <w:t>Schalk et Kopf</w:t>
      </w:r>
      <w:r w:rsidRPr="004618D5">
        <w:rPr>
          <w:lang w:val="fr-FR"/>
        </w:rPr>
        <w:t>, précité, §§ 54-64), que le droit au mariage homosexuel ne peut pas non plus se déduire de l</w:t>
      </w:r>
      <w:r w:rsidR="004618D5" w:rsidRPr="004618D5">
        <w:rPr>
          <w:lang w:val="fr-FR"/>
        </w:rPr>
        <w:t>’</w:t>
      </w:r>
      <w:r w:rsidRPr="004618D5">
        <w:rPr>
          <w:lang w:val="fr-FR"/>
        </w:rPr>
        <w:t>article 14 combiné avec l</w:t>
      </w:r>
      <w:r w:rsidR="004618D5" w:rsidRPr="004618D5">
        <w:rPr>
          <w:lang w:val="fr-FR"/>
        </w:rPr>
        <w:t>’</w:t>
      </w:r>
      <w:r w:rsidRPr="004618D5">
        <w:rPr>
          <w:lang w:val="fr-FR"/>
        </w:rPr>
        <w:t>article 8 (</w:t>
      </w:r>
      <w:r w:rsidRPr="004618D5">
        <w:rPr>
          <w:i/>
          <w:lang w:val="fr-FR"/>
        </w:rPr>
        <w:t>ibidem</w:t>
      </w:r>
      <w:r w:rsidRPr="004618D5">
        <w:rPr>
          <w:lang w:val="fr-FR"/>
        </w:rPr>
        <w:t>, § 101) et que, lorsque les États décident d</w:t>
      </w:r>
      <w:r w:rsidR="004618D5" w:rsidRPr="004618D5">
        <w:rPr>
          <w:lang w:val="fr-FR"/>
        </w:rPr>
        <w:t>’</w:t>
      </w:r>
      <w:r w:rsidRPr="004618D5">
        <w:rPr>
          <w:lang w:val="fr-FR"/>
        </w:rPr>
        <w:t>offrir aux couples homosexuels un autre mode de reconnaissance juridique, ils bénéficient d</w:t>
      </w:r>
      <w:r w:rsidR="004618D5" w:rsidRPr="004618D5">
        <w:rPr>
          <w:lang w:val="fr-FR"/>
        </w:rPr>
        <w:t>’</w:t>
      </w:r>
      <w:r w:rsidRPr="004618D5">
        <w:rPr>
          <w:lang w:val="fr-FR"/>
        </w:rPr>
        <w:t>une certaine marge d</w:t>
      </w:r>
      <w:r w:rsidR="004618D5" w:rsidRPr="004618D5">
        <w:rPr>
          <w:lang w:val="fr-FR"/>
        </w:rPr>
        <w:t>’</w:t>
      </w:r>
      <w:r w:rsidRPr="004618D5">
        <w:rPr>
          <w:lang w:val="fr-FR"/>
        </w:rPr>
        <w:t>appréciation pour décider de la nature exacte du statut conféré (</w:t>
      </w:r>
      <w:r w:rsidRPr="004618D5">
        <w:rPr>
          <w:i/>
          <w:lang w:val="fr-FR"/>
        </w:rPr>
        <w:t>ibidem</w:t>
      </w:r>
      <w:r w:rsidRPr="004618D5">
        <w:rPr>
          <w:lang w:val="fr-FR"/>
        </w:rPr>
        <w:t xml:space="preserve">, § 108, </w:t>
      </w:r>
      <w:r w:rsidRPr="004618D5">
        <w:rPr>
          <w:i/>
          <w:lang w:val="fr-FR"/>
        </w:rPr>
        <w:t>Gas et Dubois, précité</w:t>
      </w:r>
      <w:r w:rsidRPr="004618D5">
        <w:rPr>
          <w:lang w:val="fr-FR"/>
        </w:rPr>
        <w:t>, § 66). Par ailleurs, la Cour a déclaré à maintes reprises que le mariage confère un statut particulier à ceux qui s</w:t>
      </w:r>
      <w:r w:rsidR="004618D5" w:rsidRPr="004618D5">
        <w:rPr>
          <w:lang w:val="fr-FR"/>
        </w:rPr>
        <w:t>’</w:t>
      </w:r>
      <w:r w:rsidRPr="004618D5">
        <w:rPr>
          <w:lang w:val="fr-FR"/>
        </w:rPr>
        <w:t>y engagent, que l</w:t>
      </w:r>
      <w:r w:rsidR="004618D5" w:rsidRPr="004618D5">
        <w:rPr>
          <w:lang w:val="fr-FR"/>
        </w:rPr>
        <w:t>’</w:t>
      </w:r>
      <w:r w:rsidRPr="004618D5">
        <w:rPr>
          <w:lang w:val="fr-FR"/>
        </w:rPr>
        <w:t>exercice du droit de se marier est protégé par l</w:t>
      </w:r>
      <w:r w:rsidR="004618D5" w:rsidRPr="004618D5">
        <w:rPr>
          <w:lang w:val="fr-FR"/>
        </w:rPr>
        <w:t>’</w:t>
      </w:r>
      <w:r w:rsidRPr="004618D5">
        <w:rPr>
          <w:lang w:val="fr-FR"/>
        </w:rPr>
        <w:t>article 12 de la Convention et qu</w:t>
      </w:r>
      <w:r w:rsidR="004618D5" w:rsidRPr="004618D5">
        <w:rPr>
          <w:lang w:val="fr-FR"/>
        </w:rPr>
        <w:t>’</w:t>
      </w:r>
      <w:r w:rsidRPr="004618D5">
        <w:rPr>
          <w:lang w:val="fr-FR"/>
        </w:rPr>
        <w:t>il emporte des conséquences sociales, personnelles et juridiques (voir, parmi d</w:t>
      </w:r>
      <w:r w:rsidR="004618D5" w:rsidRPr="004618D5">
        <w:rPr>
          <w:lang w:val="fr-FR"/>
        </w:rPr>
        <w:t>’</w:t>
      </w:r>
      <w:r w:rsidRPr="004618D5">
        <w:rPr>
          <w:lang w:val="fr-FR"/>
        </w:rPr>
        <w:t xml:space="preserve">autres, </w:t>
      </w:r>
      <w:r w:rsidRPr="004618D5">
        <w:rPr>
          <w:i/>
          <w:lang w:val="fr-FR"/>
        </w:rPr>
        <w:t>Gas et Dubois</w:t>
      </w:r>
      <w:r w:rsidRPr="004618D5">
        <w:rPr>
          <w:lang w:val="fr-FR"/>
        </w:rPr>
        <w:t xml:space="preserve">, précité, § 68, et </w:t>
      </w:r>
      <w:r w:rsidRPr="004618D5">
        <w:rPr>
          <w:i/>
          <w:lang w:val="fr-FR"/>
        </w:rPr>
        <w:t>Burden</w:t>
      </w:r>
      <w:r w:rsidRPr="004618D5">
        <w:rPr>
          <w:lang w:val="fr-FR"/>
        </w:rPr>
        <w:t>, précité, § 63).</w:t>
      </w:r>
    </w:p>
    <w:p w:rsidR="00932BE3" w:rsidRPr="004618D5" w:rsidRDefault="00932BE3" w:rsidP="004618D5">
      <w:pPr>
        <w:pStyle w:val="OpiQuot"/>
        <w:rPr>
          <w:lang w:val="fr-FR"/>
        </w:rPr>
      </w:pPr>
      <w:r w:rsidRPr="004618D5">
        <w:rPr>
          <w:lang w:val="fr-FR"/>
        </w:rPr>
        <w:t>107.  Or le droit autrichien de l</w:t>
      </w:r>
      <w:r w:rsidR="004618D5" w:rsidRPr="004618D5">
        <w:rPr>
          <w:lang w:val="fr-FR"/>
        </w:rPr>
        <w:t>’</w:t>
      </w:r>
      <w:r w:rsidRPr="004618D5">
        <w:rPr>
          <w:lang w:val="fr-FR"/>
        </w:rPr>
        <w:t>adoption prévoit un régime spécifique pour les couples mariés. L</w:t>
      </w:r>
      <w:r w:rsidR="004618D5" w:rsidRPr="004618D5">
        <w:rPr>
          <w:lang w:val="fr-FR"/>
        </w:rPr>
        <w:t>’</w:t>
      </w:r>
      <w:r w:rsidRPr="004618D5">
        <w:rPr>
          <w:lang w:val="fr-FR"/>
        </w:rPr>
        <w:t>article 179 § 2 du code civil énonce en effet que l</w:t>
      </w:r>
      <w:r w:rsidR="004618D5" w:rsidRPr="004618D5">
        <w:rPr>
          <w:lang w:val="fr-FR"/>
        </w:rPr>
        <w:t>’</w:t>
      </w:r>
      <w:r w:rsidRPr="004618D5">
        <w:rPr>
          <w:lang w:val="fr-FR"/>
        </w:rPr>
        <w:t>adoption conjointe leur est réservée et qu</w:t>
      </w:r>
      <w:r w:rsidR="004618D5" w:rsidRPr="004618D5">
        <w:rPr>
          <w:lang w:val="fr-FR"/>
        </w:rPr>
        <w:t>’</w:t>
      </w:r>
      <w:r w:rsidRPr="004618D5">
        <w:rPr>
          <w:lang w:val="fr-FR"/>
        </w:rPr>
        <w:t>elle est en principe la seule forme d</w:t>
      </w:r>
      <w:r w:rsidR="004618D5" w:rsidRPr="004618D5">
        <w:rPr>
          <w:lang w:val="fr-FR"/>
        </w:rPr>
        <w:t>’</w:t>
      </w:r>
      <w:r w:rsidRPr="004618D5">
        <w:rPr>
          <w:lang w:val="fr-FR"/>
        </w:rPr>
        <w:t>adoption qui leur soit ouverte. Par exception à ce principe, la même disposition autorise un époux à adopter l</w:t>
      </w:r>
      <w:r w:rsidR="004618D5" w:rsidRPr="004618D5">
        <w:rPr>
          <w:lang w:val="fr-FR"/>
        </w:rPr>
        <w:t>’</w:t>
      </w:r>
      <w:r w:rsidRPr="004618D5">
        <w:rPr>
          <w:lang w:val="fr-FR"/>
        </w:rPr>
        <w:t>enfant de son conjoint (adoption coparentale).</w:t>
      </w:r>
    </w:p>
    <w:p w:rsidR="00932BE3" w:rsidRPr="004618D5" w:rsidRDefault="00932BE3" w:rsidP="004618D5">
      <w:pPr>
        <w:pStyle w:val="OpiQuot"/>
        <w:rPr>
          <w:lang w:val="fr-FR"/>
        </w:rPr>
      </w:pPr>
      <w:r w:rsidRPr="004618D5">
        <w:rPr>
          <w:lang w:val="fr-FR"/>
        </w:rPr>
        <w:t>108.  S</w:t>
      </w:r>
      <w:r w:rsidR="004618D5" w:rsidRPr="004618D5">
        <w:rPr>
          <w:lang w:val="fr-FR"/>
        </w:rPr>
        <w:t>’</w:t>
      </w:r>
      <w:r w:rsidRPr="004618D5">
        <w:rPr>
          <w:lang w:val="fr-FR"/>
        </w:rPr>
        <w:t>appuyant sur l</w:t>
      </w:r>
      <w:r w:rsidR="004618D5" w:rsidRPr="004618D5">
        <w:rPr>
          <w:lang w:val="fr-FR"/>
        </w:rPr>
        <w:t>’</w:t>
      </w:r>
      <w:r w:rsidRPr="004618D5">
        <w:rPr>
          <w:lang w:val="fr-FR"/>
        </w:rPr>
        <w:t xml:space="preserve">arrêt </w:t>
      </w:r>
      <w:r w:rsidRPr="004618D5">
        <w:rPr>
          <w:i/>
          <w:lang w:val="fr-FR"/>
        </w:rPr>
        <w:t>Gas et Dubois</w:t>
      </w:r>
      <w:r w:rsidRPr="004618D5">
        <w:rPr>
          <w:lang w:val="fr-FR"/>
        </w:rPr>
        <w:t>, le Gouvernement avance que la situation des première et troisième requérantes n</w:t>
      </w:r>
      <w:r w:rsidR="004618D5" w:rsidRPr="004618D5">
        <w:rPr>
          <w:lang w:val="fr-FR"/>
        </w:rPr>
        <w:t>’</w:t>
      </w:r>
      <w:r w:rsidRPr="004618D5">
        <w:rPr>
          <w:lang w:val="fr-FR"/>
        </w:rPr>
        <w:t>est pas comparable à celle d</w:t>
      </w:r>
      <w:r w:rsidR="004618D5" w:rsidRPr="004618D5">
        <w:rPr>
          <w:lang w:val="fr-FR"/>
        </w:rPr>
        <w:t>’</w:t>
      </w:r>
      <w:r w:rsidRPr="004618D5">
        <w:rPr>
          <w:lang w:val="fr-FR"/>
        </w:rPr>
        <w:t>un couple marié. Pour leur part, les requérantes soulignent qu</w:t>
      </w:r>
      <w:r w:rsidR="004618D5" w:rsidRPr="004618D5">
        <w:rPr>
          <w:lang w:val="fr-FR"/>
        </w:rPr>
        <w:t>’</w:t>
      </w:r>
      <w:r w:rsidRPr="004618D5">
        <w:rPr>
          <w:lang w:val="fr-FR"/>
        </w:rPr>
        <w:t>elles n</w:t>
      </w:r>
      <w:r w:rsidR="004618D5" w:rsidRPr="004618D5">
        <w:rPr>
          <w:lang w:val="fr-FR"/>
        </w:rPr>
        <w:t>’</w:t>
      </w:r>
      <w:r w:rsidRPr="004618D5">
        <w:rPr>
          <w:lang w:val="fr-FR"/>
        </w:rPr>
        <w:t>entendent pas revendiquer un droit qui serait réservé aux couples mariés. La Cour n</w:t>
      </w:r>
      <w:r w:rsidR="004618D5" w:rsidRPr="004618D5">
        <w:rPr>
          <w:lang w:val="fr-FR"/>
        </w:rPr>
        <w:t>’</w:t>
      </w:r>
      <w:r w:rsidRPr="004618D5">
        <w:rPr>
          <w:lang w:val="fr-FR"/>
        </w:rPr>
        <w:t>aperçoit pas de raison de s</w:t>
      </w:r>
      <w:r w:rsidR="004618D5" w:rsidRPr="004618D5">
        <w:rPr>
          <w:lang w:val="fr-FR"/>
        </w:rPr>
        <w:t>’</w:t>
      </w:r>
      <w:r w:rsidRPr="004618D5">
        <w:rPr>
          <w:lang w:val="fr-FR"/>
        </w:rPr>
        <w:t>écarter de sa jurisprudence sur ce point.</w:t>
      </w:r>
    </w:p>
    <w:p w:rsidR="00932BE3" w:rsidRPr="004618D5" w:rsidRDefault="00932BE3" w:rsidP="004618D5">
      <w:pPr>
        <w:pStyle w:val="OpiQuot"/>
        <w:rPr>
          <w:lang w:val="fr-FR"/>
        </w:rPr>
      </w:pPr>
      <w:r w:rsidRPr="004618D5">
        <w:rPr>
          <w:lang w:val="fr-FR"/>
        </w:rPr>
        <w:t>109.  Au vu de ce qui précède, la Cour conclut que la situation des première et troisième requérantes au regard de l</w:t>
      </w:r>
      <w:r w:rsidR="004618D5" w:rsidRPr="004618D5">
        <w:rPr>
          <w:lang w:val="fr-FR"/>
        </w:rPr>
        <w:t>’</w:t>
      </w:r>
      <w:r w:rsidRPr="004618D5">
        <w:rPr>
          <w:lang w:val="fr-FR"/>
        </w:rPr>
        <w:t>adoption coparentale n</w:t>
      </w:r>
      <w:r w:rsidR="004618D5" w:rsidRPr="004618D5">
        <w:rPr>
          <w:lang w:val="fr-FR"/>
        </w:rPr>
        <w:t>’</w:t>
      </w:r>
      <w:r w:rsidRPr="004618D5">
        <w:rPr>
          <w:lang w:val="fr-FR"/>
        </w:rPr>
        <w:t>est pas comparable à celle d</w:t>
      </w:r>
      <w:r w:rsidR="004618D5" w:rsidRPr="004618D5">
        <w:rPr>
          <w:lang w:val="fr-FR"/>
        </w:rPr>
        <w:t>’</w:t>
      </w:r>
      <w:r w:rsidRPr="004618D5">
        <w:rPr>
          <w:lang w:val="fr-FR"/>
        </w:rPr>
        <w:t>un couple marié.</w:t>
      </w:r>
    </w:p>
    <w:p w:rsidR="00932BE3" w:rsidRPr="004618D5" w:rsidRDefault="00932BE3" w:rsidP="004618D5">
      <w:pPr>
        <w:pStyle w:val="OpiQuot"/>
        <w:rPr>
          <w:lang w:val="fr-FR"/>
        </w:rPr>
      </w:pPr>
      <w:r w:rsidRPr="004618D5">
        <w:rPr>
          <w:lang w:val="fr-FR"/>
        </w:rPr>
        <w:lastRenderedPageBreak/>
        <w:t>110.  En conséquence, il n</w:t>
      </w:r>
      <w:r w:rsidR="004618D5" w:rsidRPr="004618D5">
        <w:rPr>
          <w:lang w:val="fr-FR"/>
        </w:rPr>
        <w:t>’</w:t>
      </w:r>
      <w:r w:rsidRPr="004618D5">
        <w:rPr>
          <w:lang w:val="fr-FR"/>
        </w:rPr>
        <w:t>y a pas eu violation de l</w:t>
      </w:r>
      <w:r w:rsidR="004618D5" w:rsidRPr="004618D5">
        <w:rPr>
          <w:lang w:val="fr-FR"/>
        </w:rPr>
        <w:t>’</w:t>
      </w:r>
      <w:r w:rsidRPr="004618D5">
        <w:rPr>
          <w:lang w:val="fr-FR"/>
        </w:rPr>
        <w:t>article 14 de la Convention combiné avec l</w:t>
      </w:r>
      <w:r w:rsidR="004618D5" w:rsidRPr="004618D5">
        <w:rPr>
          <w:lang w:val="fr-FR"/>
        </w:rPr>
        <w:t>’</w:t>
      </w:r>
      <w:r w:rsidRPr="004618D5">
        <w:rPr>
          <w:lang w:val="fr-FR"/>
        </w:rPr>
        <w:t>article 8 dans le chef des intéressés pour autant que l</w:t>
      </w:r>
      <w:r w:rsidR="004618D5" w:rsidRPr="004618D5">
        <w:rPr>
          <w:lang w:val="fr-FR"/>
        </w:rPr>
        <w:t>’</w:t>
      </w:r>
      <w:r w:rsidRPr="004618D5">
        <w:rPr>
          <w:lang w:val="fr-FR"/>
        </w:rPr>
        <w:t>on compare leur situation avec celle d</w:t>
      </w:r>
      <w:r w:rsidR="004618D5" w:rsidRPr="004618D5">
        <w:rPr>
          <w:lang w:val="fr-FR"/>
        </w:rPr>
        <w:t>’</w:t>
      </w:r>
      <w:r w:rsidRPr="004618D5">
        <w:rPr>
          <w:lang w:val="fr-FR"/>
        </w:rPr>
        <w:t>un couple marié dont l</w:t>
      </w:r>
      <w:r w:rsidR="004618D5" w:rsidRPr="004618D5">
        <w:rPr>
          <w:lang w:val="fr-FR"/>
        </w:rPr>
        <w:t>’</w:t>
      </w:r>
      <w:r w:rsidRPr="004618D5">
        <w:rPr>
          <w:lang w:val="fr-FR"/>
        </w:rPr>
        <w:t>un des membres aurait souhaité adopter l</w:t>
      </w:r>
      <w:r w:rsidR="004618D5" w:rsidRPr="004618D5">
        <w:rPr>
          <w:lang w:val="fr-FR"/>
        </w:rPr>
        <w:t>’</w:t>
      </w:r>
      <w:r w:rsidRPr="004618D5">
        <w:rPr>
          <w:lang w:val="fr-FR"/>
        </w:rPr>
        <w:t>enfant de l</w:t>
      </w:r>
      <w:r w:rsidR="004618D5" w:rsidRPr="004618D5">
        <w:rPr>
          <w:lang w:val="fr-FR"/>
        </w:rPr>
        <w:t>’</w:t>
      </w:r>
      <w:r w:rsidRPr="004618D5">
        <w:rPr>
          <w:lang w:val="fr-FR"/>
        </w:rPr>
        <w:t>autre ».</w:t>
      </w:r>
    </w:p>
    <w:p w:rsidR="00932BE3" w:rsidRPr="004618D5" w:rsidRDefault="00932BE3" w:rsidP="004618D5">
      <w:pPr>
        <w:pStyle w:val="OpiPara"/>
        <w:rPr>
          <w:lang w:val="fr-FR"/>
        </w:rPr>
      </w:pPr>
      <w:r w:rsidRPr="004618D5">
        <w:rPr>
          <w:lang w:val="fr-FR"/>
        </w:rPr>
        <w:t>9.  Il apparaît ainsi que la Grande Chambre distingue clairement – et unanimement (point 2 du dispositif de l</w:t>
      </w:r>
      <w:r w:rsidR="004618D5" w:rsidRPr="004618D5">
        <w:rPr>
          <w:lang w:val="fr-FR"/>
        </w:rPr>
        <w:t>’</w:t>
      </w:r>
      <w:r w:rsidRPr="004618D5">
        <w:rPr>
          <w:lang w:val="fr-FR"/>
        </w:rPr>
        <w:t xml:space="preserve">arrêt </w:t>
      </w:r>
      <w:r w:rsidRPr="004618D5">
        <w:rPr>
          <w:i/>
          <w:lang w:val="fr-FR"/>
        </w:rPr>
        <w:t>X et autres c. Autriche</w:t>
      </w:r>
      <w:r w:rsidRPr="004618D5">
        <w:rPr>
          <w:lang w:val="fr-FR"/>
        </w:rPr>
        <w:t>, précité) – la situation d</w:t>
      </w:r>
      <w:r w:rsidR="004618D5" w:rsidRPr="004618D5">
        <w:rPr>
          <w:lang w:val="fr-FR"/>
        </w:rPr>
        <w:t>’</w:t>
      </w:r>
      <w:r w:rsidRPr="004618D5">
        <w:rPr>
          <w:lang w:val="fr-FR"/>
        </w:rPr>
        <w:t>un couple marié de celle d</w:t>
      </w:r>
      <w:r w:rsidR="004618D5" w:rsidRPr="004618D5">
        <w:rPr>
          <w:lang w:val="fr-FR"/>
        </w:rPr>
        <w:t>’</w:t>
      </w:r>
      <w:r w:rsidRPr="004618D5">
        <w:rPr>
          <w:lang w:val="fr-FR"/>
        </w:rPr>
        <w:t>un couple homosexuel non marié. On pourrait certes avancer que la distinction en question ne vaut que pour le cas d</w:t>
      </w:r>
      <w:r w:rsidR="004618D5" w:rsidRPr="004618D5">
        <w:rPr>
          <w:lang w:val="fr-FR"/>
        </w:rPr>
        <w:t>’</w:t>
      </w:r>
      <w:r w:rsidRPr="004618D5">
        <w:rPr>
          <w:lang w:val="fr-FR"/>
        </w:rPr>
        <w:t>espèce, à savoir la question de l</w:t>
      </w:r>
      <w:r w:rsidR="004618D5" w:rsidRPr="004618D5">
        <w:rPr>
          <w:lang w:val="fr-FR"/>
        </w:rPr>
        <w:t>’</w:t>
      </w:r>
      <w:r w:rsidRPr="004618D5">
        <w:rPr>
          <w:lang w:val="fr-FR"/>
        </w:rPr>
        <w:t>adoption coparentale. Or tel n</w:t>
      </w:r>
      <w:r w:rsidR="004618D5" w:rsidRPr="004618D5">
        <w:rPr>
          <w:lang w:val="fr-FR"/>
        </w:rPr>
        <w:t>’</w:t>
      </w:r>
      <w:r w:rsidRPr="004618D5">
        <w:rPr>
          <w:lang w:val="fr-FR"/>
        </w:rPr>
        <w:t>est pas le cas. Ainsi qu</w:t>
      </w:r>
      <w:r w:rsidR="004618D5" w:rsidRPr="004618D5">
        <w:rPr>
          <w:lang w:val="fr-FR"/>
        </w:rPr>
        <w:t>’</w:t>
      </w:r>
      <w:r w:rsidRPr="004618D5">
        <w:rPr>
          <w:lang w:val="fr-FR"/>
        </w:rPr>
        <w:t>il apparaît également dans les affaires mentionnées dans le passage précité, ladite distinction reflète une constante dans la jurisprudence de la Cour. En effet, celle-ci a pu constater à diverses reprises et à propos de cas concernant un vaste éventail de sujets d</w:t>
      </w:r>
      <w:r w:rsidR="004618D5" w:rsidRPr="004618D5">
        <w:rPr>
          <w:lang w:val="fr-FR"/>
        </w:rPr>
        <w:t>’</w:t>
      </w:r>
      <w:r w:rsidRPr="004618D5">
        <w:rPr>
          <w:lang w:val="fr-FR"/>
        </w:rPr>
        <w:t>ordre personnel, économique ou social que l</w:t>
      </w:r>
      <w:r w:rsidR="004618D5" w:rsidRPr="004618D5">
        <w:rPr>
          <w:lang w:val="fr-FR"/>
        </w:rPr>
        <w:t>’</w:t>
      </w:r>
      <w:r w:rsidRPr="004618D5">
        <w:rPr>
          <w:lang w:val="fr-FR"/>
        </w:rPr>
        <w:t>institution du mariage crée un régime spécial au profit des intéressés. Le mariage est caractérisé par un ensemble de droits et d</w:t>
      </w:r>
      <w:r w:rsidR="004618D5" w:rsidRPr="004618D5">
        <w:rPr>
          <w:lang w:val="fr-FR"/>
        </w:rPr>
        <w:t>’</w:t>
      </w:r>
      <w:r w:rsidRPr="004618D5">
        <w:rPr>
          <w:lang w:val="fr-FR"/>
        </w:rPr>
        <w:t>obligations qui le distinguent clairement du cas d</w:t>
      </w:r>
      <w:r w:rsidR="004618D5" w:rsidRPr="004618D5">
        <w:rPr>
          <w:lang w:val="fr-FR"/>
        </w:rPr>
        <w:t>’</w:t>
      </w:r>
      <w:r w:rsidRPr="004618D5">
        <w:rPr>
          <w:lang w:val="fr-FR"/>
        </w:rPr>
        <w:t>un couple stable qui cohabite sans être marié. Cette donnée constante de la jurisprudence de la Cour a été résumée également par la Grande Chambre à propos d</w:t>
      </w:r>
      <w:r w:rsidR="004618D5" w:rsidRPr="004618D5">
        <w:rPr>
          <w:lang w:val="fr-FR"/>
        </w:rPr>
        <w:t>’</w:t>
      </w:r>
      <w:r w:rsidRPr="004618D5">
        <w:rPr>
          <w:lang w:val="fr-FR"/>
        </w:rPr>
        <w:t>un cas concernant des prestations sociales, c</w:t>
      </w:r>
      <w:r w:rsidR="004618D5" w:rsidRPr="004618D5">
        <w:rPr>
          <w:lang w:val="fr-FR"/>
        </w:rPr>
        <w:t>’</w:t>
      </w:r>
      <w:r w:rsidRPr="004618D5">
        <w:rPr>
          <w:lang w:val="fr-FR"/>
        </w:rPr>
        <w:t>est-à-dire à l</w:t>
      </w:r>
      <w:r w:rsidR="004618D5" w:rsidRPr="004618D5">
        <w:rPr>
          <w:lang w:val="fr-FR"/>
        </w:rPr>
        <w:t>’</w:t>
      </w:r>
      <w:r w:rsidRPr="004618D5">
        <w:rPr>
          <w:lang w:val="fr-FR"/>
        </w:rPr>
        <w:t>occasion d</w:t>
      </w:r>
      <w:r w:rsidR="004618D5" w:rsidRPr="004618D5">
        <w:rPr>
          <w:lang w:val="fr-FR"/>
        </w:rPr>
        <w:t>’</w:t>
      </w:r>
      <w:r w:rsidRPr="004618D5">
        <w:rPr>
          <w:lang w:val="fr-FR"/>
        </w:rPr>
        <w:t>une affaire soulevant une question bien différente de celle de l</w:t>
      </w:r>
      <w:r w:rsidR="004618D5" w:rsidRPr="004618D5">
        <w:rPr>
          <w:lang w:val="fr-FR"/>
        </w:rPr>
        <w:t>’</w:t>
      </w:r>
      <w:r w:rsidRPr="004618D5">
        <w:rPr>
          <w:lang w:val="fr-FR"/>
        </w:rPr>
        <w:t>adoption coparentale. C</w:t>
      </w:r>
      <w:r w:rsidR="004618D5" w:rsidRPr="004618D5">
        <w:rPr>
          <w:lang w:val="fr-FR"/>
        </w:rPr>
        <w:t>’</w:t>
      </w:r>
      <w:r w:rsidRPr="004618D5">
        <w:rPr>
          <w:lang w:val="fr-FR"/>
        </w:rPr>
        <w:t>est ainsi que, dans l</w:t>
      </w:r>
      <w:r w:rsidR="004618D5" w:rsidRPr="004618D5">
        <w:rPr>
          <w:lang w:val="fr-FR"/>
        </w:rPr>
        <w:t>’</w:t>
      </w:r>
      <w:r w:rsidRPr="004618D5">
        <w:rPr>
          <w:lang w:val="fr-FR"/>
        </w:rPr>
        <w:t xml:space="preserve">affaire </w:t>
      </w:r>
      <w:r w:rsidRPr="004618D5">
        <w:rPr>
          <w:i/>
          <w:lang w:val="fr-FR"/>
        </w:rPr>
        <w:t xml:space="preserve">Şerife Yiğit c. Turquie </w:t>
      </w:r>
      <w:r w:rsidRPr="004618D5">
        <w:rPr>
          <w:lang w:val="fr-FR"/>
        </w:rPr>
        <w:t>(</w:t>
      </w:r>
      <w:r w:rsidRPr="004618D5">
        <w:rPr>
          <w:szCs w:val="20"/>
          <w:lang w:val="fr-FR"/>
        </w:rPr>
        <w:t>[GC], n</w:t>
      </w:r>
      <w:r w:rsidRPr="004618D5">
        <w:rPr>
          <w:szCs w:val="20"/>
          <w:vertAlign w:val="superscript"/>
          <w:lang w:val="fr-FR"/>
        </w:rPr>
        <w:t>o </w:t>
      </w:r>
      <w:r w:rsidRPr="004618D5">
        <w:rPr>
          <w:szCs w:val="20"/>
          <w:lang w:val="fr-FR"/>
        </w:rPr>
        <w:t xml:space="preserve">3976/05, 2 novembre 2010), </w:t>
      </w:r>
      <w:r w:rsidRPr="004618D5">
        <w:rPr>
          <w:lang w:val="fr-FR"/>
        </w:rPr>
        <w:t>la Cour a rappelé que :</w:t>
      </w:r>
    </w:p>
    <w:p w:rsidR="00932BE3" w:rsidRPr="004618D5" w:rsidRDefault="00932BE3" w:rsidP="004618D5">
      <w:pPr>
        <w:pStyle w:val="OpiQuot"/>
        <w:rPr>
          <w:lang w:val="fr-FR"/>
        </w:rPr>
      </w:pPr>
      <w:r w:rsidRPr="004618D5">
        <w:rPr>
          <w:szCs w:val="20"/>
          <w:lang w:val="fr-FR"/>
        </w:rPr>
        <w:t>« </w:t>
      </w:r>
      <w:r w:rsidRPr="004618D5">
        <w:rPr>
          <w:lang w:val="fr-FR"/>
        </w:rPr>
        <w:t>72.  Sur le terrain de l</w:t>
      </w:r>
      <w:r w:rsidR="004618D5" w:rsidRPr="004618D5">
        <w:rPr>
          <w:lang w:val="fr-FR"/>
        </w:rPr>
        <w:t>’</w:t>
      </w:r>
      <w:r w:rsidRPr="004618D5">
        <w:rPr>
          <w:lang w:val="fr-FR"/>
        </w:rPr>
        <w:t>article 12 de la Convention, la Cour a déjà constaté que le mariage est largement reconnu comme conférant un statut et des droits particuliers à ceux qui s</w:t>
      </w:r>
      <w:r w:rsidR="004618D5" w:rsidRPr="004618D5">
        <w:rPr>
          <w:lang w:val="fr-FR"/>
        </w:rPr>
        <w:t>’</w:t>
      </w:r>
      <w:r w:rsidRPr="004618D5">
        <w:rPr>
          <w:lang w:val="fr-FR"/>
        </w:rPr>
        <w:t>y engagent (</w:t>
      </w:r>
      <w:r w:rsidRPr="004618D5">
        <w:rPr>
          <w:i/>
          <w:lang w:val="fr-FR"/>
        </w:rPr>
        <w:t>Burden</w:t>
      </w:r>
      <w:r w:rsidRPr="004618D5">
        <w:rPr>
          <w:lang w:val="fr-FR"/>
        </w:rPr>
        <w:t xml:space="preserve">, précité, § 63, et </w:t>
      </w:r>
      <w:r w:rsidRPr="004618D5">
        <w:rPr>
          <w:i/>
          <w:lang w:val="fr-FR"/>
        </w:rPr>
        <w:t>Joanna Shackell c. Royaume-Uni</w:t>
      </w:r>
      <w:r w:rsidRPr="004618D5">
        <w:rPr>
          <w:lang w:val="fr-FR"/>
        </w:rPr>
        <w:t xml:space="preserve"> (déc.), n</w:t>
      </w:r>
      <w:r w:rsidRPr="004618D5">
        <w:rPr>
          <w:vertAlign w:val="superscript"/>
          <w:lang w:val="fr-FR"/>
        </w:rPr>
        <w:t>o</w:t>
      </w:r>
      <w:r w:rsidRPr="004618D5">
        <w:rPr>
          <w:lang w:val="fr-FR"/>
        </w:rPr>
        <w:t xml:space="preserve"> 45851/99, 27 avril 2000). La protection du mariage constitue en principe une raison importante et légitime pouvant justifier une différence de traitement entre couples mariés et couples non mariés (</w:t>
      </w:r>
      <w:r w:rsidRPr="004618D5">
        <w:rPr>
          <w:i/>
          <w:lang w:val="fr-FR"/>
        </w:rPr>
        <w:t>Quintana Zapata c. Espagne</w:t>
      </w:r>
      <w:r w:rsidRPr="004618D5">
        <w:rPr>
          <w:lang w:val="fr-FR"/>
        </w:rPr>
        <w:t>, n</w:t>
      </w:r>
      <w:r w:rsidRPr="004618D5">
        <w:rPr>
          <w:vertAlign w:val="superscript"/>
          <w:lang w:val="fr-FR"/>
        </w:rPr>
        <w:t>o </w:t>
      </w:r>
      <w:r w:rsidRPr="004618D5">
        <w:rPr>
          <w:lang w:val="fr-FR"/>
        </w:rPr>
        <w:t>34615/97, décision de la Commission du 4 mars 1998, Décisions et rapports (DR) 92, p. 139). Le mariage se caractérise par un ensemble de droits et d</w:t>
      </w:r>
      <w:r w:rsidR="004618D5" w:rsidRPr="004618D5">
        <w:rPr>
          <w:lang w:val="fr-FR"/>
        </w:rPr>
        <w:t>’</w:t>
      </w:r>
      <w:r w:rsidRPr="004618D5">
        <w:rPr>
          <w:lang w:val="fr-FR"/>
        </w:rPr>
        <w:t>obligations qui le différencient nettement de la situation d</w:t>
      </w:r>
      <w:r w:rsidR="004618D5" w:rsidRPr="004618D5">
        <w:rPr>
          <w:lang w:val="fr-FR"/>
        </w:rPr>
        <w:t>’</w:t>
      </w:r>
      <w:r w:rsidRPr="004618D5">
        <w:rPr>
          <w:lang w:val="fr-FR"/>
        </w:rPr>
        <w:t>un homme et d</w:t>
      </w:r>
      <w:r w:rsidR="004618D5" w:rsidRPr="004618D5">
        <w:rPr>
          <w:lang w:val="fr-FR"/>
        </w:rPr>
        <w:t>’</w:t>
      </w:r>
      <w:r w:rsidRPr="004618D5">
        <w:rPr>
          <w:lang w:val="fr-FR"/>
        </w:rPr>
        <w:t>une femme vivant ensemble (</w:t>
      </w:r>
      <w:r w:rsidRPr="004618D5">
        <w:rPr>
          <w:i/>
          <w:lang w:val="fr-FR"/>
        </w:rPr>
        <w:t>Nylund c. Finlande</w:t>
      </w:r>
      <w:r w:rsidRPr="004618D5">
        <w:rPr>
          <w:lang w:val="fr-FR"/>
        </w:rPr>
        <w:t xml:space="preserve"> (déc.), n</w:t>
      </w:r>
      <w:r w:rsidRPr="004618D5">
        <w:rPr>
          <w:vertAlign w:val="superscript"/>
          <w:lang w:val="fr-FR"/>
        </w:rPr>
        <w:t>o</w:t>
      </w:r>
      <w:r w:rsidRPr="004618D5">
        <w:rPr>
          <w:lang w:val="fr-FR"/>
        </w:rPr>
        <w:t xml:space="preserve"> 27110/95, CEDH 1999</w:t>
      </w:r>
      <w:r w:rsidRPr="004618D5">
        <w:rPr>
          <w:lang w:val="fr-FR"/>
        </w:rPr>
        <w:noBreakHyphen/>
        <w:t xml:space="preserve">VI, et </w:t>
      </w:r>
      <w:r w:rsidRPr="004618D5">
        <w:rPr>
          <w:i/>
          <w:lang w:val="fr-FR"/>
        </w:rPr>
        <w:t>Lindsay c. Royaume-Uni</w:t>
      </w:r>
      <w:r w:rsidRPr="004618D5">
        <w:rPr>
          <w:lang w:val="fr-FR"/>
        </w:rPr>
        <w:t xml:space="preserve"> (déc.), n</w:t>
      </w:r>
      <w:r w:rsidRPr="004618D5">
        <w:rPr>
          <w:vertAlign w:val="superscript"/>
          <w:lang w:val="fr-FR"/>
        </w:rPr>
        <w:t>o</w:t>
      </w:r>
      <w:r w:rsidRPr="004618D5">
        <w:rPr>
          <w:lang w:val="fr-FR"/>
        </w:rPr>
        <w:t> 11089/84, 11 novembre 1986). Aussi les États jouissent-ils d</w:t>
      </w:r>
      <w:r w:rsidR="004618D5" w:rsidRPr="004618D5">
        <w:rPr>
          <w:lang w:val="fr-FR"/>
        </w:rPr>
        <w:t>’</w:t>
      </w:r>
      <w:r w:rsidRPr="004618D5">
        <w:rPr>
          <w:lang w:val="fr-FR"/>
        </w:rPr>
        <w:t>une certaine marge d</w:t>
      </w:r>
      <w:r w:rsidR="004618D5" w:rsidRPr="004618D5">
        <w:rPr>
          <w:lang w:val="fr-FR"/>
        </w:rPr>
        <w:t>’</w:t>
      </w:r>
      <w:r w:rsidRPr="004618D5">
        <w:rPr>
          <w:lang w:val="fr-FR"/>
        </w:rPr>
        <w:t>appréciation quand ils prévoient un traitement différent selon qu</w:t>
      </w:r>
      <w:r w:rsidR="004618D5" w:rsidRPr="004618D5">
        <w:rPr>
          <w:lang w:val="fr-FR"/>
        </w:rPr>
        <w:t>’</w:t>
      </w:r>
      <w:r w:rsidRPr="004618D5">
        <w:rPr>
          <w:lang w:val="fr-FR"/>
        </w:rPr>
        <w:t>un couple est marié ou non, notamment dans des domaines qui relèvent de la politique sociale et fiscale, par exemple en matière d</w:t>
      </w:r>
      <w:r w:rsidR="004618D5" w:rsidRPr="004618D5">
        <w:rPr>
          <w:lang w:val="fr-FR"/>
        </w:rPr>
        <w:t>’</w:t>
      </w:r>
      <w:r w:rsidRPr="004618D5">
        <w:rPr>
          <w:lang w:val="fr-FR"/>
        </w:rPr>
        <w:t xml:space="preserve">imposition, de pension et de sécurité sociale (voir, </w:t>
      </w:r>
      <w:r w:rsidRPr="004618D5">
        <w:rPr>
          <w:i/>
          <w:lang w:val="fr-FR"/>
        </w:rPr>
        <w:t>mutatis mutandis</w:t>
      </w:r>
      <w:r w:rsidRPr="004618D5">
        <w:rPr>
          <w:lang w:val="fr-FR"/>
        </w:rPr>
        <w:t xml:space="preserve">, </w:t>
      </w:r>
      <w:r w:rsidRPr="004618D5">
        <w:rPr>
          <w:i/>
          <w:lang w:val="fr-FR"/>
        </w:rPr>
        <w:t>Burden</w:t>
      </w:r>
      <w:r w:rsidRPr="004618D5">
        <w:rPr>
          <w:lang w:val="fr-FR"/>
        </w:rPr>
        <w:t>, précité, § 65)</w:t>
      </w:r>
      <w:r w:rsidR="00F95E51" w:rsidRPr="004618D5">
        <w:rPr>
          <w:lang w:val="fr-FR"/>
        </w:rPr>
        <w:t>.</w:t>
      </w:r>
      <w:r w:rsidRPr="004618D5">
        <w:rPr>
          <w:lang w:val="fr-FR"/>
        </w:rPr>
        <w:t> »</w:t>
      </w:r>
    </w:p>
    <w:p w:rsidR="00932BE3" w:rsidRPr="004618D5" w:rsidRDefault="00932BE3" w:rsidP="004618D5">
      <w:pPr>
        <w:pStyle w:val="OpiPara"/>
        <w:rPr>
          <w:i/>
          <w:lang w:val="fr-FR"/>
        </w:rPr>
      </w:pPr>
      <w:r w:rsidRPr="004618D5">
        <w:rPr>
          <w:lang w:val="fr-FR"/>
        </w:rPr>
        <w:t>Voir aussi l</w:t>
      </w:r>
      <w:r w:rsidR="004618D5" w:rsidRPr="004618D5">
        <w:rPr>
          <w:lang w:val="fr-FR"/>
        </w:rPr>
        <w:t>’</w:t>
      </w:r>
      <w:r w:rsidRPr="004618D5">
        <w:rPr>
          <w:lang w:val="fr-FR"/>
        </w:rPr>
        <w:t xml:space="preserve">arrêt </w:t>
      </w:r>
      <w:r w:rsidRPr="004618D5">
        <w:rPr>
          <w:i/>
          <w:lang w:val="fr-FR"/>
        </w:rPr>
        <w:t>Korosidou c. Grèce</w:t>
      </w:r>
      <w:r w:rsidRPr="004618D5">
        <w:rPr>
          <w:lang w:val="fr-FR"/>
        </w:rPr>
        <w:t xml:space="preserve"> (n</w:t>
      </w:r>
      <w:r w:rsidRPr="004618D5">
        <w:rPr>
          <w:vertAlign w:val="superscript"/>
          <w:lang w:val="fr-FR"/>
        </w:rPr>
        <w:t>o</w:t>
      </w:r>
      <w:r w:rsidRPr="004618D5">
        <w:rPr>
          <w:lang w:val="fr-FR"/>
        </w:rPr>
        <w:t xml:space="preserve"> 9957/08, § 64, 10 février 2011).</w:t>
      </w:r>
    </w:p>
    <w:p w:rsidR="004618D5" w:rsidRPr="004618D5" w:rsidRDefault="00932BE3" w:rsidP="004618D5">
      <w:pPr>
        <w:pStyle w:val="OpiPara"/>
        <w:rPr>
          <w:lang w:val="fr-FR"/>
        </w:rPr>
      </w:pPr>
      <w:r w:rsidRPr="004618D5">
        <w:rPr>
          <w:lang w:val="fr-FR"/>
        </w:rPr>
        <w:t>10.  Il apparaît ainsi qu</w:t>
      </w:r>
      <w:r w:rsidR="004618D5" w:rsidRPr="004618D5">
        <w:rPr>
          <w:lang w:val="fr-FR"/>
        </w:rPr>
        <w:t>’</w:t>
      </w:r>
      <w:r w:rsidRPr="004618D5">
        <w:rPr>
          <w:lang w:val="fr-FR"/>
        </w:rPr>
        <w:t>il existe une ligne jurisprudentielle claire qui revient comme un leitmotiv à propos d</w:t>
      </w:r>
      <w:r w:rsidR="004618D5" w:rsidRPr="004618D5">
        <w:rPr>
          <w:lang w:val="fr-FR"/>
        </w:rPr>
        <w:t>’</w:t>
      </w:r>
      <w:r w:rsidRPr="004618D5">
        <w:rPr>
          <w:lang w:val="fr-FR"/>
        </w:rPr>
        <w:t>affaires couvrant un large éventail de questions, que ce soit sous l</w:t>
      </w:r>
      <w:r w:rsidR="004618D5" w:rsidRPr="004618D5">
        <w:rPr>
          <w:lang w:val="fr-FR"/>
        </w:rPr>
        <w:t>’</w:t>
      </w:r>
      <w:r w:rsidRPr="004618D5">
        <w:rPr>
          <w:lang w:val="fr-FR"/>
        </w:rPr>
        <w:t>angle de l</w:t>
      </w:r>
      <w:r w:rsidR="004618D5" w:rsidRPr="004618D5">
        <w:rPr>
          <w:lang w:val="fr-FR"/>
        </w:rPr>
        <w:t>’</w:t>
      </w:r>
      <w:r w:rsidRPr="004618D5">
        <w:rPr>
          <w:lang w:val="fr-FR"/>
        </w:rPr>
        <w:t>artic</w:t>
      </w:r>
      <w:r w:rsidR="00C33F48" w:rsidRPr="004618D5">
        <w:rPr>
          <w:lang w:val="fr-FR"/>
        </w:rPr>
        <w:t>le 8 ou sous celui de l</w:t>
      </w:r>
      <w:r w:rsidR="004618D5" w:rsidRPr="004618D5">
        <w:rPr>
          <w:lang w:val="fr-FR"/>
        </w:rPr>
        <w:t>’</w:t>
      </w:r>
      <w:r w:rsidR="00C33F48" w:rsidRPr="004618D5">
        <w:rPr>
          <w:lang w:val="fr-FR"/>
        </w:rPr>
        <w:t>article </w:t>
      </w:r>
      <w:r w:rsidRPr="004618D5">
        <w:rPr>
          <w:lang w:val="fr-FR"/>
        </w:rPr>
        <w:t>1 du Protocole n</w:t>
      </w:r>
      <w:r w:rsidRPr="004618D5">
        <w:rPr>
          <w:vertAlign w:val="superscript"/>
          <w:lang w:val="fr-FR"/>
        </w:rPr>
        <w:t>o</w:t>
      </w:r>
      <w:r w:rsidRPr="004618D5">
        <w:rPr>
          <w:lang w:val="fr-FR"/>
        </w:rPr>
        <w:t xml:space="preserve"> 1 combiné avec l</w:t>
      </w:r>
      <w:r w:rsidR="004618D5" w:rsidRPr="004618D5">
        <w:rPr>
          <w:lang w:val="fr-FR"/>
        </w:rPr>
        <w:t>’</w:t>
      </w:r>
      <w:r w:rsidRPr="004618D5">
        <w:rPr>
          <w:lang w:val="fr-FR"/>
        </w:rPr>
        <w:t>article 14 de la Convention, et qui consiste à distinguer, d</w:t>
      </w:r>
      <w:r w:rsidR="004618D5" w:rsidRPr="004618D5">
        <w:rPr>
          <w:lang w:val="fr-FR"/>
        </w:rPr>
        <w:t>’</w:t>
      </w:r>
      <w:r w:rsidRPr="004618D5">
        <w:rPr>
          <w:lang w:val="fr-FR"/>
        </w:rPr>
        <w:t>une part, les couples mariés, homosexuels ou hétérosexuels, et, d</w:t>
      </w:r>
      <w:r w:rsidR="004618D5" w:rsidRPr="004618D5">
        <w:rPr>
          <w:lang w:val="fr-FR"/>
        </w:rPr>
        <w:t>’</w:t>
      </w:r>
      <w:r w:rsidRPr="004618D5">
        <w:rPr>
          <w:lang w:val="fr-FR"/>
        </w:rPr>
        <w:t>autre part, des couples non mariés, homosexuels ou hétérosexuels. Par conséquent, accepter ne serait-ce qu</w:t>
      </w:r>
      <w:r w:rsidR="004618D5" w:rsidRPr="004618D5">
        <w:rPr>
          <w:lang w:val="fr-FR"/>
        </w:rPr>
        <w:t>’</w:t>
      </w:r>
      <w:r w:rsidRPr="004618D5">
        <w:rPr>
          <w:lang w:val="fr-FR"/>
        </w:rPr>
        <w:t>implicitement ou indirectement qu</w:t>
      </w:r>
      <w:r w:rsidR="004618D5" w:rsidRPr="004618D5">
        <w:rPr>
          <w:lang w:val="fr-FR"/>
        </w:rPr>
        <w:t>’</w:t>
      </w:r>
      <w:r w:rsidRPr="004618D5">
        <w:rPr>
          <w:lang w:val="fr-FR"/>
        </w:rPr>
        <w:t xml:space="preserve">un couple stable non marié se trouve dans une situation </w:t>
      </w:r>
      <w:r w:rsidRPr="004618D5">
        <w:rPr>
          <w:lang w:val="fr-FR"/>
        </w:rPr>
        <w:lastRenderedPageBreak/>
        <w:t>comparable à celle d</w:t>
      </w:r>
      <w:r w:rsidR="004618D5" w:rsidRPr="004618D5">
        <w:rPr>
          <w:lang w:val="fr-FR"/>
        </w:rPr>
        <w:t>’</w:t>
      </w:r>
      <w:r w:rsidRPr="004618D5">
        <w:rPr>
          <w:lang w:val="fr-FR"/>
        </w:rPr>
        <w:t>un couple marié ne semble pas compatible avec la jurisprudence de la Cour.</w:t>
      </w:r>
    </w:p>
    <w:p w:rsidR="00932BE3" w:rsidRPr="004618D5" w:rsidRDefault="00932BE3" w:rsidP="004618D5">
      <w:pPr>
        <w:pStyle w:val="OpiHi"/>
        <w:rPr>
          <w:lang w:val="fr-FR"/>
        </w:rPr>
      </w:pPr>
      <w:r w:rsidRPr="004618D5">
        <w:rPr>
          <w:lang w:val="fr-FR"/>
        </w:rPr>
        <w:t>b)  La situation des couples homosexuels non mariés est comparable à celle des couples hétérosexuels non mariés</w:t>
      </w:r>
    </w:p>
    <w:p w:rsidR="00932BE3" w:rsidRPr="004618D5" w:rsidRDefault="00932BE3" w:rsidP="004618D5">
      <w:pPr>
        <w:pStyle w:val="OpiPara"/>
        <w:rPr>
          <w:lang w:val="fr-FR"/>
        </w:rPr>
      </w:pPr>
      <w:r w:rsidRPr="004618D5">
        <w:rPr>
          <w:lang w:val="fr-FR"/>
        </w:rPr>
        <w:t>11.  Il reste maintenant à savoir si ce qu</w:t>
      </w:r>
      <w:r w:rsidR="004618D5" w:rsidRPr="004618D5">
        <w:rPr>
          <w:lang w:val="fr-FR"/>
        </w:rPr>
        <w:t>’</w:t>
      </w:r>
      <w:r w:rsidRPr="004618D5">
        <w:rPr>
          <w:lang w:val="fr-FR"/>
        </w:rPr>
        <w:t>affirme explicitement la majorité dans le présent arrêt – à savoir que la situation des requérants n</w:t>
      </w:r>
      <w:r w:rsidR="004618D5" w:rsidRPr="004618D5">
        <w:rPr>
          <w:lang w:val="fr-FR"/>
        </w:rPr>
        <w:t>’</w:t>
      </w:r>
      <w:r w:rsidRPr="004618D5">
        <w:rPr>
          <w:lang w:val="fr-FR"/>
        </w:rPr>
        <w:t xml:space="preserve">est </w:t>
      </w:r>
      <w:r w:rsidRPr="004618D5">
        <w:rPr>
          <w:i/>
          <w:lang w:val="fr-FR"/>
        </w:rPr>
        <w:t>pas</w:t>
      </w:r>
      <w:r w:rsidRPr="004618D5">
        <w:rPr>
          <w:lang w:val="fr-FR"/>
        </w:rPr>
        <w:t xml:space="preserve"> comparable à celle d</w:t>
      </w:r>
      <w:r w:rsidR="004618D5" w:rsidRPr="004618D5">
        <w:rPr>
          <w:lang w:val="fr-FR"/>
        </w:rPr>
        <w:t>’</w:t>
      </w:r>
      <w:r w:rsidRPr="004618D5">
        <w:rPr>
          <w:lang w:val="fr-FR"/>
        </w:rPr>
        <w:t>un couple hétérosexuel stable non marié – est compatible avec la jurisprudence de la Cour. À cet égard, il convient de se référer une fois de plus à l</w:t>
      </w:r>
      <w:r w:rsidR="004618D5" w:rsidRPr="004618D5">
        <w:rPr>
          <w:lang w:val="fr-FR"/>
        </w:rPr>
        <w:t>’</w:t>
      </w:r>
      <w:r w:rsidRPr="004618D5">
        <w:rPr>
          <w:lang w:val="fr-FR"/>
        </w:rPr>
        <w:t xml:space="preserve">arrêt </w:t>
      </w:r>
      <w:r w:rsidRPr="004618D5">
        <w:rPr>
          <w:i/>
          <w:lang w:val="fr-FR"/>
        </w:rPr>
        <w:t>X et autres c. Autriche</w:t>
      </w:r>
      <w:r w:rsidRPr="004618D5">
        <w:rPr>
          <w:lang w:val="fr-FR"/>
        </w:rPr>
        <w:t xml:space="preserve"> précité. Dans cet arrêt, la Grande Chambre a adopté une position qui semble se situer aux antipodes de celle qu</w:t>
      </w:r>
      <w:r w:rsidR="004618D5" w:rsidRPr="004618D5">
        <w:rPr>
          <w:lang w:val="fr-FR"/>
        </w:rPr>
        <w:t>’</w:t>
      </w:r>
      <w:r w:rsidRPr="004618D5">
        <w:rPr>
          <w:lang w:val="fr-FR"/>
        </w:rPr>
        <w:t>adopte la Cour dans le présent arrêt puisqu</w:t>
      </w:r>
      <w:r w:rsidR="004618D5" w:rsidRPr="004618D5">
        <w:rPr>
          <w:lang w:val="fr-FR"/>
        </w:rPr>
        <w:t>’</w:t>
      </w:r>
      <w:r w:rsidRPr="004618D5">
        <w:rPr>
          <w:lang w:val="fr-FR"/>
        </w:rPr>
        <w:t>elle compare précisément la situation des requérants – un couple homosexuel stable non marié – à celle d</w:t>
      </w:r>
      <w:r w:rsidR="004618D5" w:rsidRPr="004618D5">
        <w:rPr>
          <w:lang w:val="fr-FR"/>
        </w:rPr>
        <w:t>’</w:t>
      </w:r>
      <w:r w:rsidRPr="004618D5">
        <w:rPr>
          <w:lang w:val="fr-FR"/>
        </w:rPr>
        <w:t>un couple hétérosexuel stable non marié (</w:t>
      </w:r>
      <w:r w:rsidR="00F132CD" w:rsidRPr="004618D5">
        <w:rPr>
          <w:i/>
          <w:lang w:val="fr-FR"/>
        </w:rPr>
        <w:t>X et autres c. </w:t>
      </w:r>
      <w:r w:rsidRPr="004618D5">
        <w:rPr>
          <w:i/>
          <w:lang w:val="fr-FR"/>
        </w:rPr>
        <w:t>Autriche</w:t>
      </w:r>
      <w:r w:rsidRPr="004618D5">
        <w:rPr>
          <w:lang w:val="fr-FR"/>
        </w:rPr>
        <w:t>, précité, §§ 111-112) :</w:t>
      </w:r>
    </w:p>
    <w:p w:rsidR="00932BE3" w:rsidRPr="004618D5" w:rsidRDefault="00932BE3" w:rsidP="004618D5">
      <w:pPr>
        <w:pStyle w:val="OpiQuot"/>
        <w:rPr>
          <w:lang w:val="fr-FR"/>
        </w:rPr>
      </w:pPr>
      <w:r w:rsidRPr="004618D5">
        <w:rPr>
          <w:lang w:val="fr-FR"/>
        </w:rPr>
        <w:t>« </w:t>
      </w:r>
      <w:r w:rsidRPr="004618D5">
        <w:rPr>
          <w:i/>
          <w:lang w:val="fr-FR"/>
        </w:rPr>
        <w:t>β) Comparaison de la situation des requérants avec celle d</w:t>
      </w:r>
      <w:r w:rsidR="004618D5" w:rsidRPr="004618D5">
        <w:rPr>
          <w:i/>
          <w:lang w:val="fr-FR"/>
        </w:rPr>
        <w:t>’</w:t>
      </w:r>
      <w:r w:rsidRPr="004618D5">
        <w:rPr>
          <w:i/>
          <w:lang w:val="fr-FR"/>
        </w:rPr>
        <w:t>un couple hétérosexuel non marié dont l</w:t>
      </w:r>
      <w:r w:rsidR="004618D5" w:rsidRPr="004618D5">
        <w:rPr>
          <w:i/>
          <w:lang w:val="fr-FR"/>
        </w:rPr>
        <w:t>’</w:t>
      </w:r>
      <w:r w:rsidRPr="004618D5">
        <w:rPr>
          <w:i/>
          <w:lang w:val="fr-FR"/>
        </w:rPr>
        <w:t>un des membres aurait souhaité adopter l</w:t>
      </w:r>
      <w:r w:rsidR="004618D5" w:rsidRPr="004618D5">
        <w:rPr>
          <w:i/>
          <w:lang w:val="fr-FR"/>
        </w:rPr>
        <w:t>’</w:t>
      </w:r>
      <w:r w:rsidRPr="004618D5">
        <w:rPr>
          <w:i/>
          <w:lang w:val="fr-FR"/>
        </w:rPr>
        <w:t>enfant de l</w:t>
      </w:r>
      <w:r w:rsidR="004618D5" w:rsidRPr="004618D5">
        <w:rPr>
          <w:i/>
          <w:lang w:val="fr-FR"/>
        </w:rPr>
        <w:t>’</w:t>
      </w:r>
      <w:r w:rsidRPr="004618D5">
        <w:rPr>
          <w:i/>
          <w:lang w:val="fr-FR"/>
        </w:rPr>
        <w:t>autre</w:t>
      </w:r>
    </w:p>
    <w:p w:rsidR="00932BE3" w:rsidRPr="004618D5" w:rsidRDefault="00932BE3" w:rsidP="004618D5">
      <w:pPr>
        <w:pStyle w:val="OpiQuot"/>
        <w:rPr>
          <w:lang w:val="fr-FR"/>
        </w:rPr>
      </w:pPr>
      <w:r w:rsidRPr="004618D5">
        <w:rPr>
          <w:lang w:val="fr-FR"/>
        </w:rPr>
        <w:t>111.  La Cour relève que les observations des requérants portent essentiellement sur la comparaison de leur situation avec celle d</w:t>
      </w:r>
      <w:r w:rsidR="004618D5" w:rsidRPr="004618D5">
        <w:rPr>
          <w:lang w:val="fr-FR"/>
        </w:rPr>
        <w:t>’</w:t>
      </w:r>
      <w:r w:rsidRPr="004618D5">
        <w:rPr>
          <w:lang w:val="fr-FR"/>
        </w:rPr>
        <w:t>un couple hétérosexuel non marié. Les intéressés soulignent qu</w:t>
      </w:r>
      <w:r w:rsidR="004618D5" w:rsidRPr="004618D5">
        <w:rPr>
          <w:lang w:val="fr-FR"/>
        </w:rPr>
        <w:t>’</w:t>
      </w:r>
      <w:r w:rsidRPr="004618D5">
        <w:rPr>
          <w:lang w:val="fr-FR"/>
        </w:rPr>
        <w:t>en droit autrichien l</w:t>
      </w:r>
      <w:r w:rsidR="004618D5" w:rsidRPr="004618D5">
        <w:rPr>
          <w:lang w:val="fr-FR"/>
        </w:rPr>
        <w:t>’</w:t>
      </w:r>
      <w:r w:rsidRPr="004618D5">
        <w:rPr>
          <w:lang w:val="fr-FR"/>
        </w:rPr>
        <w:t>adoption coparentale est ouverte non seulement aux couples mariés, mais aussi aux couples hétérosexuels non mariés, alors qu</w:t>
      </w:r>
      <w:r w:rsidR="004618D5" w:rsidRPr="004618D5">
        <w:rPr>
          <w:lang w:val="fr-FR"/>
        </w:rPr>
        <w:t>’</w:t>
      </w:r>
      <w:r w:rsidRPr="004618D5">
        <w:rPr>
          <w:lang w:val="fr-FR"/>
        </w:rPr>
        <w:t>elle est juridiquement impossible pour les couples homosexuels.</w:t>
      </w:r>
    </w:p>
    <w:p w:rsidR="00932BE3" w:rsidRPr="004618D5" w:rsidRDefault="00932BE3" w:rsidP="004618D5">
      <w:pPr>
        <w:pStyle w:val="OpiQuot"/>
        <w:rPr>
          <w:lang w:val="fr-FR"/>
        </w:rPr>
      </w:pPr>
      <w:r w:rsidRPr="004618D5">
        <w:rPr>
          <w:lang w:val="fr-FR"/>
        </w:rPr>
        <w:t>– Situation comparable</w:t>
      </w:r>
    </w:p>
    <w:p w:rsidR="00932BE3" w:rsidRPr="004618D5" w:rsidRDefault="00932BE3" w:rsidP="004618D5">
      <w:pPr>
        <w:pStyle w:val="OpiQuot"/>
        <w:rPr>
          <w:lang w:val="fr-FR"/>
        </w:rPr>
      </w:pPr>
      <w:r w:rsidRPr="004618D5">
        <w:rPr>
          <w:lang w:val="fr-FR"/>
        </w:rPr>
        <w:t>112.  La Cour observe qu</w:t>
      </w:r>
      <w:r w:rsidR="004618D5" w:rsidRPr="004618D5">
        <w:rPr>
          <w:lang w:val="fr-FR"/>
        </w:rPr>
        <w:t>’</w:t>
      </w:r>
      <w:r w:rsidRPr="004618D5">
        <w:rPr>
          <w:lang w:val="fr-FR"/>
        </w:rPr>
        <w:t>aucune des parties n</w:t>
      </w:r>
      <w:r w:rsidR="004618D5" w:rsidRPr="004618D5">
        <w:rPr>
          <w:lang w:val="fr-FR"/>
        </w:rPr>
        <w:t>’</w:t>
      </w:r>
      <w:r w:rsidRPr="004618D5">
        <w:rPr>
          <w:lang w:val="fr-FR"/>
        </w:rPr>
        <w:t>avance que la loi distingue les couples homosexuels des couples hétérosexuels non mariés par un statut juridique particulier analogue à celui qui différencie les premiers et les seconds des couples mariés. D</w:t>
      </w:r>
      <w:r w:rsidR="004618D5" w:rsidRPr="004618D5">
        <w:rPr>
          <w:lang w:val="fr-FR"/>
        </w:rPr>
        <w:t>’</w:t>
      </w:r>
      <w:r w:rsidRPr="004618D5">
        <w:rPr>
          <w:lang w:val="fr-FR"/>
        </w:rPr>
        <w:t>ailleurs, le Gouvernement ne conteste pas que la situation des couples hétérosexuels non mariés soit comparable à celle des couples homosexuels, concédant que, en termes de personnes, les couples homosexuels et les couples hétérosexuels sont en théorie tout aussi aptes ou inaptes les uns que les autres à l</w:t>
      </w:r>
      <w:r w:rsidR="004618D5" w:rsidRPr="004618D5">
        <w:rPr>
          <w:lang w:val="fr-FR"/>
        </w:rPr>
        <w:t>’</w:t>
      </w:r>
      <w:r w:rsidRPr="004618D5">
        <w:rPr>
          <w:lang w:val="fr-FR"/>
        </w:rPr>
        <w:t>adoption en général et à l</w:t>
      </w:r>
      <w:r w:rsidR="004618D5" w:rsidRPr="004618D5">
        <w:rPr>
          <w:lang w:val="fr-FR"/>
        </w:rPr>
        <w:t>’</w:t>
      </w:r>
      <w:r w:rsidRPr="004618D5">
        <w:rPr>
          <w:lang w:val="fr-FR"/>
        </w:rPr>
        <w:t>adoption coparentale en particulier. La Cour constate que la situation des requérants, désireux d</w:t>
      </w:r>
      <w:r w:rsidR="004618D5" w:rsidRPr="004618D5">
        <w:rPr>
          <w:lang w:val="fr-FR"/>
        </w:rPr>
        <w:t>’</w:t>
      </w:r>
      <w:r w:rsidRPr="004618D5">
        <w:rPr>
          <w:lang w:val="fr-FR"/>
        </w:rPr>
        <w:t>établir un lien juridique entre le premier et le deuxième d</w:t>
      </w:r>
      <w:r w:rsidR="004618D5" w:rsidRPr="004618D5">
        <w:rPr>
          <w:lang w:val="fr-FR"/>
        </w:rPr>
        <w:t>’</w:t>
      </w:r>
      <w:r w:rsidRPr="004618D5">
        <w:rPr>
          <w:lang w:val="fr-FR"/>
        </w:rPr>
        <w:t>entre eux, est comparable à celle d</w:t>
      </w:r>
      <w:r w:rsidR="004618D5" w:rsidRPr="004618D5">
        <w:rPr>
          <w:lang w:val="fr-FR"/>
        </w:rPr>
        <w:t>’</w:t>
      </w:r>
      <w:r w:rsidRPr="004618D5">
        <w:rPr>
          <w:lang w:val="fr-FR"/>
        </w:rPr>
        <w:t>un couple hétérosexuel dont l</w:t>
      </w:r>
      <w:r w:rsidR="004618D5" w:rsidRPr="004618D5">
        <w:rPr>
          <w:lang w:val="fr-FR"/>
        </w:rPr>
        <w:t>’</w:t>
      </w:r>
      <w:r w:rsidRPr="004618D5">
        <w:rPr>
          <w:lang w:val="fr-FR"/>
        </w:rPr>
        <w:t>un des membres aurait souhaité adopter l</w:t>
      </w:r>
      <w:r w:rsidR="004618D5" w:rsidRPr="004618D5">
        <w:rPr>
          <w:lang w:val="fr-FR"/>
        </w:rPr>
        <w:t>’</w:t>
      </w:r>
      <w:r w:rsidRPr="004618D5">
        <w:rPr>
          <w:lang w:val="fr-FR"/>
        </w:rPr>
        <w:t>enfant de l</w:t>
      </w:r>
      <w:r w:rsidR="004618D5" w:rsidRPr="004618D5">
        <w:rPr>
          <w:lang w:val="fr-FR"/>
        </w:rPr>
        <w:t>’</w:t>
      </w:r>
      <w:r w:rsidRPr="004618D5">
        <w:rPr>
          <w:lang w:val="fr-FR"/>
        </w:rPr>
        <w:t>autre. »</w:t>
      </w:r>
    </w:p>
    <w:p w:rsidR="00932BE3" w:rsidRPr="004618D5" w:rsidRDefault="00932BE3" w:rsidP="004618D5">
      <w:pPr>
        <w:pStyle w:val="OpiPara"/>
        <w:rPr>
          <w:lang w:val="fr-FR"/>
        </w:rPr>
      </w:pPr>
      <w:r w:rsidRPr="004618D5">
        <w:rPr>
          <w:lang w:val="fr-FR"/>
        </w:rPr>
        <w:t>12.  Une fois de plus, on pourrait arguer que ces affirmations ne concernent que la question de l</w:t>
      </w:r>
      <w:r w:rsidR="004618D5" w:rsidRPr="004618D5">
        <w:rPr>
          <w:lang w:val="fr-FR"/>
        </w:rPr>
        <w:t>’</w:t>
      </w:r>
      <w:r w:rsidRPr="004618D5">
        <w:rPr>
          <w:lang w:val="fr-FR"/>
        </w:rPr>
        <w:t>adoption coparentale et que la comparaison entre les couples homosexuels et hétérosexuels non mariés ne vaut pas dans d</w:t>
      </w:r>
      <w:r w:rsidR="004618D5" w:rsidRPr="004618D5">
        <w:rPr>
          <w:lang w:val="fr-FR"/>
        </w:rPr>
        <w:t>’</w:t>
      </w:r>
      <w:r w:rsidRPr="004618D5">
        <w:rPr>
          <w:lang w:val="fr-FR"/>
        </w:rPr>
        <w:t>autres hypothèses. Une telle approche ne nous semble pas convaincante pour plusieurs raisons. La première est d</w:t>
      </w:r>
      <w:r w:rsidR="004618D5" w:rsidRPr="004618D5">
        <w:rPr>
          <w:lang w:val="fr-FR"/>
        </w:rPr>
        <w:t>’</w:t>
      </w:r>
      <w:r w:rsidRPr="004618D5">
        <w:rPr>
          <w:lang w:val="fr-FR"/>
        </w:rPr>
        <w:t>ordre purement logique. En effet, les deux affirmations contenues dans les deux passages susmentionnés de l</w:t>
      </w:r>
      <w:r w:rsidR="004618D5" w:rsidRPr="004618D5">
        <w:rPr>
          <w:lang w:val="fr-FR"/>
        </w:rPr>
        <w:t>’</w:t>
      </w:r>
      <w:r w:rsidRPr="004618D5">
        <w:rPr>
          <w:lang w:val="fr-FR"/>
        </w:rPr>
        <w:t xml:space="preserve">arrêt </w:t>
      </w:r>
      <w:r w:rsidRPr="004618D5">
        <w:rPr>
          <w:i/>
          <w:lang w:val="fr-FR"/>
        </w:rPr>
        <w:t>X et autres c. Autriche</w:t>
      </w:r>
      <w:r w:rsidRPr="004618D5">
        <w:rPr>
          <w:lang w:val="fr-FR"/>
        </w:rPr>
        <w:t xml:space="preserve"> précité constituent les deux faces de la même médaille. Dire, d</w:t>
      </w:r>
      <w:r w:rsidR="004618D5" w:rsidRPr="004618D5">
        <w:rPr>
          <w:lang w:val="fr-FR"/>
        </w:rPr>
        <w:t>’</w:t>
      </w:r>
      <w:r w:rsidRPr="004618D5">
        <w:rPr>
          <w:lang w:val="fr-FR"/>
        </w:rPr>
        <w:t>une part, que la situation des couples mariés et non mariés n</w:t>
      </w:r>
      <w:r w:rsidR="004618D5" w:rsidRPr="004618D5">
        <w:rPr>
          <w:lang w:val="fr-FR"/>
        </w:rPr>
        <w:t>’</w:t>
      </w:r>
      <w:r w:rsidRPr="004618D5">
        <w:rPr>
          <w:lang w:val="fr-FR"/>
        </w:rPr>
        <w:t>est pas comparable, et affirmer, d</w:t>
      </w:r>
      <w:r w:rsidR="004618D5" w:rsidRPr="004618D5">
        <w:rPr>
          <w:lang w:val="fr-FR"/>
        </w:rPr>
        <w:t>’</w:t>
      </w:r>
      <w:r w:rsidRPr="004618D5">
        <w:rPr>
          <w:lang w:val="fr-FR"/>
        </w:rPr>
        <w:t xml:space="preserve">autre part, que les couples non mariés stables homosexuels ou hétérosexuels se trouvent, eux, dans des situations comparables nous semble parfaitement cohérent. Les deux affirmations </w:t>
      </w:r>
      <w:r w:rsidRPr="004618D5">
        <w:rPr>
          <w:lang w:val="fr-FR"/>
        </w:rPr>
        <w:lastRenderedPageBreak/>
        <w:t>découlent l</w:t>
      </w:r>
      <w:r w:rsidR="004618D5" w:rsidRPr="004618D5">
        <w:rPr>
          <w:lang w:val="fr-FR"/>
        </w:rPr>
        <w:t>’</w:t>
      </w:r>
      <w:r w:rsidRPr="004618D5">
        <w:rPr>
          <w:lang w:val="fr-FR"/>
        </w:rPr>
        <w:t>une de l</w:t>
      </w:r>
      <w:r w:rsidR="004618D5" w:rsidRPr="004618D5">
        <w:rPr>
          <w:lang w:val="fr-FR"/>
        </w:rPr>
        <w:t>’</w:t>
      </w:r>
      <w:r w:rsidRPr="004618D5">
        <w:rPr>
          <w:lang w:val="fr-FR"/>
        </w:rPr>
        <w:t xml:space="preserve">autre et elles sont complémentaires. Cette manière de voir est corroborée par un autre arrêt important et plus récent de la Grande Chambre, </w:t>
      </w:r>
      <w:r w:rsidRPr="004618D5">
        <w:rPr>
          <w:i/>
          <w:lang w:val="fr-FR"/>
        </w:rPr>
        <w:t>Vallianatos et autres c. Grèce</w:t>
      </w:r>
      <w:r w:rsidRPr="004618D5">
        <w:rPr>
          <w:lang w:val="fr-FR"/>
        </w:rPr>
        <w:t>, [GC], n</w:t>
      </w:r>
      <w:r w:rsidRPr="004618D5">
        <w:rPr>
          <w:vertAlign w:val="superscript"/>
          <w:lang w:val="fr-FR"/>
        </w:rPr>
        <w:t>os</w:t>
      </w:r>
      <w:r w:rsidRPr="004618D5">
        <w:rPr>
          <w:lang w:val="fr-FR"/>
        </w:rPr>
        <w:t> </w:t>
      </w:r>
      <w:r w:rsidR="005964AB" w:rsidRPr="004618D5">
        <w:rPr>
          <w:lang w:val="fr-FR"/>
        </w:rPr>
        <w:t>29381/09 et 32684/09, CEDH </w:t>
      </w:r>
      <w:r w:rsidRPr="004618D5">
        <w:rPr>
          <w:lang w:val="fr-FR"/>
        </w:rPr>
        <w:t>2013 (extraits)), concernant le « pacte de vie commune » que la loi grecque en vigueur à l</w:t>
      </w:r>
      <w:r w:rsidR="004618D5" w:rsidRPr="004618D5">
        <w:rPr>
          <w:lang w:val="fr-FR"/>
        </w:rPr>
        <w:t>’</w:t>
      </w:r>
      <w:r w:rsidRPr="004618D5">
        <w:rPr>
          <w:lang w:val="fr-FR"/>
        </w:rPr>
        <w:t>époque des faits (modifiée depuis lors) réservait aux couples hétérosexuels. En situant le litige dans son contexte, la Cour a affirmé une fois de plus que la situation des couples hétérosexuels non mariés est comparable à celle des couples homosexuels non mariés (</w:t>
      </w:r>
      <w:r w:rsidRPr="004618D5">
        <w:rPr>
          <w:i/>
          <w:lang w:val="fr-FR"/>
        </w:rPr>
        <w:t>Vallianatos et autres c. Grèce</w:t>
      </w:r>
      <w:r w:rsidRPr="004618D5">
        <w:rPr>
          <w:lang w:val="fr-FR"/>
        </w:rPr>
        <w:t>, précité, § 72) :</w:t>
      </w:r>
    </w:p>
    <w:p w:rsidR="00932BE3" w:rsidRPr="004618D5" w:rsidRDefault="00932BE3" w:rsidP="004618D5">
      <w:pPr>
        <w:pStyle w:val="OpiQuot"/>
        <w:rPr>
          <w:lang w:val="fr-FR"/>
        </w:rPr>
      </w:pPr>
      <w:r w:rsidRPr="004618D5">
        <w:rPr>
          <w:lang w:val="fr-FR"/>
        </w:rPr>
        <w:t>« </w:t>
      </w:r>
      <w:r w:rsidRPr="004618D5">
        <w:rPr>
          <w:i/>
          <w:lang w:val="fr-FR"/>
        </w:rPr>
        <w:t>α)  Comparaison de la situation des requérants avec celle d</w:t>
      </w:r>
      <w:r w:rsidR="004618D5" w:rsidRPr="004618D5">
        <w:rPr>
          <w:i/>
          <w:lang w:val="fr-FR"/>
        </w:rPr>
        <w:t>’</w:t>
      </w:r>
      <w:r w:rsidRPr="004618D5">
        <w:rPr>
          <w:i/>
          <w:lang w:val="fr-FR"/>
        </w:rPr>
        <w:t>un couple hétérosexuel et existence d</w:t>
      </w:r>
      <w:r w:rsidR="004618D5" w:rsidRPr="004618D5">
        <w:rPr>
          <w:i/>
          <w:lang w:val="fr-FR"/>
        </w:rPr>
        <w:t>’</w:t>
      </w:r>
      <w:r w:rsidRPr="004618D5">
        <w:rPr>
          <w:i/>
          <w:lang w:val="fr-FR"/>
        </w:rPr>
        <w:t>une différence de traitement</w:t>
      </w:r>
    </w:p>
    <w:p w:rsidR="00932BE3" w:rsidRPr="004618D5" w:rsidRDefault="00932BE3" w:rsidP="004618D5">
      <w:pPr>
        <w:pStyle w:val="OpiQuot"/>
        <w:rPr>
          <w:lang w:val="fr-FR"/>
        </w:rPr>
      </w:pPr>
      <w:r w:rsidRPr="004618D5">
        <w:rPr>
          <w:lang w:val="fr-FR"/>
        </w:rPr>
        <w:t>78.  La première question qui se pose à la Cour est celle de savoir si la situation des requérants est comparable à celle d</w:t>
      </w:r>
      <w:r w:rsidR="004618D5" w:rsidRPr="004618D5">
        <w:rPr>
          <w:lang w:val="fr-FR"/>
        </w:rPr>
        <w:t>’</w:t>
      </w:r>
      <w:r w:rsidRPr="004618D5">
        <w:rPr>
          <w:lang w:val="fr-FR"/>
        </w:rPr>
        <w:t>un couple hétérosexuel souhaitant conclure un « pacte de vie commune » en vertu de la loi n</w:t>
      </w:r>
      <w:r w:rsidRPr="004618D5">
        <w:rPr>
          <w:vertAlign w:val="superscript"/>
          <w:lang w:val="fr-FR"/>
        </w:rPr>
        <w:t>o</w:t>
      </w:r>
      <w:r w:rsidRPr="004618D5">
        <w:rPr>
          <w:lang w:val="fr-FR"/>
        </w:rPr>
        <w:t xml:space="preserve"> 3719/2008. La Cour rappelle que les couples homosexuels sont, tout comme les couples hétérosexuels, capables de s</w:t>
      </w:r>
      <w:r w:rsidR="004618D5" w:rsidRPr="004618D5">
        <w:rPr>
          <w:lang w:val="fr-FR"/>
        </w:rPr>
        <w:t>’</w:t>
      </w:r>
      <w:r w:rsidRPr="004618D5">
        <w:rPr>
          <w:lang w:val="fr-FR"/>
        </w:rPr>
        <w:t>engager dans des relations stables (</w:t>
      </w:r>
      <w:r w:rsidRPr="004618D5">
        <w:rPr>
          <w:i/>
          <w:lang w:val="fr-FR"/>
        </w:rPr>
        <w:t>Schalk et Kopf</w:t>
      </w:r>
      <w:r w:rsidRPr="004618D5">
        <w:rPr>
          <w:lang w:val="fr-FR"/>
        </w:rPr>
        <w:t>, précité, § 99). Elle considère donc que les requérants se trouvent dans une situation comparable à celle de personnes hétérosexuelles pour ce qui est de leur besoin de reconnaissance juridique et de protection de leur relation de couple (</w:t>
      </w:r>
      <w:r w:rsidRPr="004618D5">
        <w:rPr>
          <w:i/>
          <w:lang w:val="fr-FR"/>
        </w:rPr>
        <w:t>ibidem</w:t>
      </w:r>
      <w:r w:rsidRPr="004618D5">
        <w:rPr>
          <w:lang w:val="fr-FR"/>
        </w:rPr>
        <w:t>). »</w:t>
      </w:r>
    </w:p>
    <w:p w:rsidR="00932BE3" w:rsidRPr="004618D5" w:rsidRDefault="00932BE3" w:rsidP="004618D5">
      <w:pPr>
        <w:pStyle w:val="OpiPara"/>
        <w:rPr>
          <w:sz w:val="20"/>
          <w:szCs w:val="20"/>
          <w:lang w:val="fr-FR"/>
        </w:rPr>
      </w:pPr>
      <w:r w:rsidRPr="004618D5">
        <w:rPr>
          <w:lang w:val="fr-FR"/>
        </w:rPr>
        <w:t>Cette position constitue l</w:t>
      </w:r>
      <w:r w:rsidR="004618D5" w:rsidRPr="004618D5">
        <w:rPr>
          <w:lang w:val="fr-FR"/>
        </w:rPr>
        <w:t>’</w:t>
      </w:r>
      <w:r w:rsidRPr="004618D5">
        <w:rPr>
          <w:lang w:val="fr-FR"/>
        </w:rPr>
        <w:t>idée maîtresse autour de laquelle s</w:t>
      </w:r>
      <w:r w:rsidR="004618D5" w:rsidRPr="004618D5">
        <w:rPr>
          <w:lang w:val="fr-FR"/>
        </w:rPr>
        <w:t>’</w:t>
      </w:r>
      <w:r w:rsidRPr="004618D5">
        <w:rPr>
          <w:lang w:val="fr-FR"/>
        </w:rPr>
        <w:t>articule l</w:t>
      </w:r>
      <w:r w:rsidR="004618D5" w:rsidRPr="004618D5">
        <w:rPr>
          <w:lang w:val="fr-FR"/>
        </w:rPr>
        <w:t>’</w:t>
      </w:r>
      <w:r w:rsidRPr="004618D5">
        <w:rPr>
          <w:lang w:val="fr-FR"/>
        </w:rPr>
        <w:t>ensemble du raisonnement de la Cour dans cette affaire.</w:t>
      </w:r>
    </w:p>
    <w:p w:rsidR="004618D5" w:rsidRPr="004618D5" w:rsidRDefault="00932BE3" w:rsidP="004618D5">
      <w:pPr>
        <w:pStyle w:val="OpiPara"/>
        <w:rPr>
          <w:lang w:val="fr-FR"/>
        </w:rPr>
      </w:pPr>
      <w:r w:rsidRPr="004618D5">
        <w:rPr>
          <w:lang w:val="fr-FR"/>
        </w:rPr>
        <w:t>13.  Par ailleurs, les arguments utilisés par la major</w:t>
      </w:r>
      <w:r w:rsidR="000C45E1" w:rsidRPr="004618D5">
        <w:rPr>
          <w:lang w:val="fr-FR"/>
        </w:rPr>
        <w:t>ité pour soutenir l</w:t>
      </w:r>
      <w:r w:rsidR="004618D5" w:rsidRPr="004618D5">
        <w:rPr>
          <w:lang w:val="fr-FR"/>
        </w:rPr>
        <w:t>’</w:t>
      </w:r>
      <w:r w:rsidR="000C45E1" w:rsidRPr="004618D5">
        <w:rPr>
          <w:lang w:val="fr-FR"/>
        </w:rPr>
        <w:t>affirmation </w:t>
      </w:r>
      <w:r w:rsidRPr="004618D5">
        <w:rPr>
          <w:lang w:val="fr-FR"/>
        </w:rPr>
        <w:t>– nouvelle dans la jurisprudence de la Cour – suivant laquelle la situation d</w:t>
      </w:r>
      <w:r w:rsidR="004618D5" w:rsidRPr="004618D5">
        <w:rPr>
          <w:lang w:val="fr-FR"/>
        </w:rPr>
        <w:t>’</w:t>
      </w:r>
      <w:r w:rsidRPr="004618D5">
        <w:rPr>
          <w:lang w:val="fr-FR"/>
        </w:rPr>
        <w:t>un couple homosexuel stable ne serait pas comparable à celle d</w:t>
      </w:r>
      <w:r w:rsidR="004618D5" w:rsidRPr="004618D5">
        <w:rPr>
          <w:lang w:val="fr-FR"/>
        </w:rPr>
        <w:t>’</w:t>
      </w:r>
      <w:r w:rsidRPr="004618D5">
        <w:rPr>
          <w:lang w:val="fr-FR"/>
        </w:rPr>
        <w:t>un couple hétérosexuel stable ne semblent pas convaincants. Le premier argument consiste à dire que les deux situations seraient différentes aux fins de l</w:t>
      </w:r>
      <w:r w:rsidR="004618D5" w:rsidRPr="004618D5">
        <w:rPr>
          <w:lang w:val="fr-FR"/>
        </w:rPr>
        <w:t>’</w:t>
      </w:r>
      <w:r w:rsidRPr="004618D5">
        <w:rPr>
          <w:lang w:val="fr-FR"/>
        </w:rPr>
        <w:t>obtention d</w:t>
      </w:r>
      <w:r w:rsidR="004618D5" w:rsidRPr="004618D5">
        <w:rPr>
          <w:lang w:val="fr-FR"/>
        </w:rPr>
        <w:t>’</w:t>
      </w:r>
      <w:r w:rsidRPr="004618D5">
        <w:rPr>
          <w:lang w:val="fr-FR"/>
        </w:rPr>
        <w:t>un permis de séjour en Italie parce que les couples hétérosexuels ont la possibilité de se marier et donc de « régulariser » leur situation au regard des dispositions pertinentes du droit italien, ce qui n</w:t>
      </w:r>
      <w:r w:rsidR="004618D5" w:rsidRPr="004618D5">
        <w:rPr>
          <w:lang w:val="fr-FR"/>
        </w:rPr>
        <w:t>’</w:t>
      </w:r>
      <w:r w:rsidRPr="004618D5">
        <w:rPr>
          <w:lang w:val="fr-FR"/>
        </w:rPr>
        <w:t>est pas le cas d</w:t>
      </w:r>
      <w:r w:rsidR="004618D5" w:rsidRPr="004618D5">
        <w:rPr>
          <w:lang w:val="fr-FR"/>
        </w:rPr>
        <w:t>’</w:t>
      </w:r>
      <w:r w:rsidRPr="004618D5">
        <w:rPr>
          <w:lang w:val="fr-FR"/>
        </w:rPr>
        <w:t>un couple homosexuel (paragraphe 83 de l</w:t>
      </w:r>
      <w:r w:rsidR="004618D5" w:rsidRPr="004618D5">
        <w:rPr>
          <w:lang w:val="fr-FR"/>
        </w:rPr>
        <w:t>’</w:t>
      </w:r>
      <w:r w:rsidRPr="004618D5">
        <w:rPr>
          <w:lang w:val="fr-FR"/>
        </w:rPr>
        <w:t xml:space="preserve">arrêt). Or cet argument pourrait être applicable </w:t>
      </w:r>
      <w:r w:rsidRPr="004618D5">
        <w:rPr>
          <w:i/>
          <w:lang w:val="fr-FR"/>
        </w:rPr>
        <w:t>mutatis mutandis</w:t>
      </w:r>
      <w:r w:rsidRPr="004618D5">
        <w:rPr>
          <w:lang w:val="fr-FR"/>
        </w:rPr>
        <w:t xml:space="preserve"> dans plusieurs autres cas, mettant sérieusement en cause, on l</w:t>
      </w:r>
      <w:r w:rsidR="004618D5" w:rsidRPr="004618D5">
        <w:rPr>
          <w:lang w:val="fr-FR"/>
        </w:rPr>
        <w:t>’</w:t>
      </w:r>
      <w:r w:rsidRPr="004618D5">
        <w:rPr>
          <w:lang w:val="fr-FR"/>
        </w:rPr>
        <w:t>a vu, le statut particulier du mariage tel qu</w:t>
      </w:r>
      <w:r w:rsidR="004618D5" w:rsidRPr="004618D5">
        <w:rPr>
          <w:lang w:val="fr-FR"/>
        </w:rPr>
        <w:t>’</w:t>
      </w:r>
      <w:r w:rsidRPr="004618D5">
        <w:rPr>
          <w:lang w:val="fr-FR"/>
        </w:rPr>
        <w:t>il résulte de la Convention et de la jurisprudence de la Cour (voir ci-dessus). Par ailleurs, l</w:t>
      </w:r>
      <w:r w:rsidR="004618D5" w:rsidRPr="004618D5">
        <w:rPr>
          <w:lang w:val="fr-FR"/>
        </w:rPr>
        <w:t>’</w:t>
      </w:r>
      <w:r w:rsidRPr="004618D5">
        <w:rPr>
          <w:lang w:val="fr-FR"/>
        </w:rPr>
        <w:t>argument en question revient à affirmer en substance qu</w:t>
      </w:r>
      <w:r w:rsidR="004618D5" w:rsidRPr="004618D5">
        <w:rPr>
          <w:lang w:val="fr-FR"/>
        </w:rPr>
        <w:t>’</w:t>
      </w:r>
      <w:r w:rsidRPr="004618D5">
        <w:rPr>
          <w:lang w:val="fr-FR"/>
        </w:rPr>
        <w:t>un couple hétérosexuel dont l</w:t>
      </w:r>
      <w:r w:rsidR="004618D5" w:rsidRPr="004618D5">
        <w:rPr>
          <w:lang w:val="fr-FR"/>
        </w:rPr>
        <w:t>’</w:t>
      </w:r>
      <w:r w:rsidRPr="004618D5">
        <w:rPr>
          <w:lang w:val="fr-FR"/>
        </w:rPr>
        <w:t xml:space="preserve">un des membres souhaite obtenir un permis de séjour est obligé de se marier </w:t>
      </w:r>
      <w:r w:rsidRPr="004618D5">
        <w:rPr>
          <w:i/>
          <w:lang w:val="fr-FR"/>
        </w:rPr>
        <w:t>nolens volens</w:t>
      </w:r>
      <w:r w:rsidRPr="004618D5">
        <w:rPr>
          <w:lang w:val="fr-FR"/>
        </w:rPr>
        <w:t>, ce qui n</w:t>
      </w:r>
      <w:r w:rsidR="004618D5" w:rsidRPr="004618D5">
        <w:rPr>
          <w:lang w:val="fr-FR"/>
        </w:rPr>
        <w:t>’</w:t>
      </w:r>
      <w:r w:rsidRPr="004618D5">
        <w:rPr>
          <w:lang w:val="fr-FR"/>
        </w:rPr>
        <w:t>est pas le cas d</w:t>
      </w:r>
      <w:r w:rsidR="004618D5" w:rsidRPr="004618D5">
        <w:rPr>
          <w:lang w:val="fr-FR"/>
        </w:rPr>
        <w:t>’</w:t>
      </w:r>
      <w:r w:rsidRPr="004618D5">
        <w:rPr>
          <w:lang w:val="fr-FR"/>
        </w:rPr>
        <w:t>un couple homosexuel. Toutefois, si l</w:t>
      </w:r>
      <w:r w:rsidR="004618D5" w:rsidRPr="004618D5">
        <w:rPr>
          <w:lang w:val="fr-FR"/>
        </w:rPr>
        <w:t>’</w:t>
      </w:r>
      <w:r w:rsidRPr="004618D5">
        <w:rPr>
          <w:lang w:val="fr-FR"/>
        </w:rPr>
        <w:t>on accepte cette proposition, il est probable qu</w:t>
      </w:r>
      <w:r w:rsidR="004618D5" w:rsidRPr="004618D5">
        <w:rPr>
          <w:lang w:val="fr-FR"/>
        </w:rPr>
        <w:t>’</w:t>
      </w:r>
      <w:r w:rsidRPr="004618D5">
        <w:rPr>
          <w:lang w:val="fr-FR"/>
        </w:rPr>
        <w:t>à l</w:t>
      </w:r>
      <w:r w:rsidR="004618D5" w:rsidRPr="004618D5">
        <w:rPr>
          <w:lang w:val="fr-FR"/>
        </w:rPr>
        <w:t>’</w:t>
      </w:r>
      <w:r w:rsidRPr="004618D5">
        <w:rPr>
          <w:lang w:val="fr-FR"/>
        </w:rPr>
        <w:t>avenir la Cour soit saisie par un couple hétérosexuel qui invoquera cette différence de traitement pour soutenir qu</w:t>
      </w:r>
      <w:r w:rsidR="004618D5" w:rsidRPr="004618D5">
        <w:rPr>
          <w:lang w:val="fr-FR"/>
        </w:rPr>
        <w:t>’</w:t>
      </w:r>
      <w:r w:rsidRPr="004618D5">
        <w:rPr>
          <w:lang w:val="fr-FR"/>
        </w:rPr>
        <w:t>il a subi une discrimination. On risque dès lors de se perdre dans des méandres de syllogismes qui conduisent à des résultats assez complexes et plutôt difficiles à suivre.</w:t>
      </w:r>
    </w:p>
    <w:p w:rsidR="00932BE3" w:rsidRPr="004618D5" w:rsidRDefault="00932BE3" w:rsidP="004618D5">
      <w:pPr>
        <w:pStyle w:val="OpiPara"/>
        <w:rPr>
          <w:lang w:val="fr-FR"/>
        </w:rPr>
      </w:pPr>
      <w:r w:rsidRPr="004618D5">
        <w:rPr>
          <w:lang w:val="fr-FR"/>
        </w:rPr>
        <w:t xml:space="preserve">14.  Le deuxième argument de la majorité, tendant à différencier les couples hétérosexuels et homosexuels non mariés, semble à première vue </w:t>
      </w:r>
      <w:r w:rsidRPr="004618D5">
        <w:rPr>
          <w:lang w:val="fr-FR"/>
        </w:rPr>
        <w:lastRenderedPageBreak/>
        <w:t>être spécifique à la présente affaire. Il consiste à dire que les requérants ont prouvé leur intention de se marier puisqu</w:t>
      </w:r>
      <w:r w:rsidR="004618D5" w:rsidRPr="004618D5">
        <w:rPr>
          <w:lang w:val="fr-FR"/>
        </w:rPr>
        <w:t>’</w:t>
      </w:r>
      <w:r w:rsidRPr="004618D5">
        <w:rPr>
          <w:lang w:val="fr-FR"/>
        </w:rPr>
        <w:t>ils l</w:t>
      </w:r>
      <w:r w:rsidR="004618D5" w:rsidRPr="004618D5">
        <w:rPr>
          <w:lang w:val="fr-FR"/>
        </w:rPr>
        <w:t>’</w:t>
      </w:r>
      <w:r w:rsidRPr="004618D5">
        <w:rPr>
          <w:lang w:val="fr-FR"/>
        </w:rPr>
        <w:t>ont finalement fait aux Pays</w:t>
      </w:r>
      <w:r w:rsidRPr="004618D5">
        <w:rPr>
          <w:lang w:val="fr-FR"/>
        </w:rPr>
        <w:noBreakHyphen/>
        <w:t>Bas et que donc leur situation « ne saurait pas non plus être comparée à celle d</w:t>
      </w:r>
      <w:r w:rsidR="004618D5" w:rsidRPr="004618D5">
        <w:rPr>
          <w:lang w:val="fr-FR"/>
        </w:rPr>
        <w:t>’</w:t>
      </w:r>
      <w:r w:rsidRPr="004618D5">
        <w:rPr>
          <w:lang w:val="fr-FR"/>
        </w:rPr>
        <w:t>un couple hétérosexuel qui, pour des raisons d</w:t>
      </w:r>
      <w:r w:rsidR="004618D5" w:rsidRPr="004618D5">
        <w:rPr>
          <w:lang w:val="fr-FR"/>
        </w:rPr>
        <w:t>’</w:t>
      </w:r>
      <w:r w:rsidRPr="004618D5">
        <w:rPr>
          <w:lang w:val="fr-FR"/>
        </w:rPr>
        <w:t>ordre personnel, ne souhaite pas s</w:t>
      </w:r>
      <w:r w:rsidR="004618D5" w:rsidRPr="004618D5">
        <w:rPr>
          <w:lang w:val="fr-FR"/>
        </w:rPr>
        <w:t>’</w:t>
      </w:r>
      <w:r w:rsidRPr="004618D5">
        <w:rPr>
          <w:lang w:val="fr-FR"/>
        </w:rPr>
        <w:t>engager dans un mariage ou dans une union civile » (paragraphe 84). Or, rappelons-le, le mariage des requérants a eu lieu le 8 mai 2010, c</w:t>
      </w:r>
      <w:r w:rsidR="004618D5" w:rsidRPr="004618D5">
        <w:rPr>
          <w:lang w:val="fr-FR"/>
        </w:rPr>
        <w:t>’</w:t>
      </w:r>
      <w:r w:rsidRPr="004618D5">
        <w:rPr>
          <w:lang w:val="fr-FR"/>
        </w:rPr>
        <w:t>est-à-dire postérieurement à la période litigieuse, alors que les requérants ne se trouvaient plus en Italie. Dès lors, peut-on tirer d</w:t>
      </w:r>
      <w:r w:rsidR="004618D5" w:rsidRPr="004618D5">
        <w:rPr>
          <w:lang w:val="fr-FR"/>
        </w:rPr>
        <w:t>’</w:t>
      </w:r>
      <w:r w:rsidRPr="004618D5">
        <w:rPr>
          <w:lang w:val="fr-FR"/>
        </w:rPr>
        <w:t>un tel événement, que les autorités nationales ne pouvaient même pas prévoir, une conséquence juridique d</w:t>
      </w:r>
      <w:r w:rsidR="004618D5" w:rsidRPr="004618D5">
        <w:rPr>
          <w:lang w:val="fr-FR"/>
        </w:rPr>
        <w:t>’</w:t>
      </w:r>
      <w:r w:rsidRPr="004618D5">
        <w:rPr>
          <w:lang w:val="fr-FR"/>
        </w:rPr>
        <w:t>importance quant au caractère comparable des situations et aux obligations juridiques qui en résultent pour un État partie ? Est-il judicieux de se placer sur le terrain des intentions individuelles pour aboutir à des conclusions d</w:t>
      </w:r>
      <w:r w:rsidR="004618D5" w:rsidRPr="004618D5">
        <w:rPr>
          <w:lang w:val="fr-FR"/>
        </w:rPr>
        <w:t>’</w:t>
      </w:r>
      <w:r w:rsidRPr="004618D5">
        <w:rPr>
          <w:lang w:val="fr-FR"/>
        </w:rPr>
        <w:t>ordre général ?</w:t>
      </w:r>
    </w:p>
    <w:p w:rsidR="00932BE3" w:rsidRPr="004618D5" w:rsidRDefault="00932BE3" w:rsidP="004618D5">
      <w:pPr>
        <w:pStyle w:val="OpiHa0"/>
        <w:rPr>
          <w:lang w:val="fr-FR"/>
        </w:rPr>
      </w:pPr>
      <w:r w:rsidRPr="004618D5">
        <w:rPr>
          <w:lang w:val="fr-FR"/>
        </w:rPr>
        <w:t>5.  Conclusion</w:t>
      </w:r>
    </w:p>
    <w:p w:rsidR="004618D5" w:rsidRPr="004618D5" w:rsidRDefault="00932BE3" w:rsidP="004618D5">
      <w:pPr>
        <w:pStyle w:val="OpiPara"/>
        <w:rPr>
          <w:lang w:val="fr-FR"/>
        </w:rPr>
      </w:pPr>
      <w:r w:rsidRPr="004618D5">
        <w:rPr>
          <w:lang w:val="fr-FR"/>
        </w:rPr>
        <w:t>15.  L</w:t>
      </w:r>
      <w:r w:rsidR="004618D5" w:rsidRPr="004618D5">
        <w:rPr>
          <w:lang w:val="fr-FR"/>
        </w:rPr>
        <w:t>’</w:t>
      </w:r>
      <w:r w:rsidRPr="004618D5">
        <w:rPr>
          <w:lang w:val="fr-FR"/>
        </w:rPr>
        <w:t>approche de la majorité au sujet des situations comparables ne me semble pas compatible avec la jurisprudence de la Cour. Plus particulièrement, je ne souscris pas à la position de la majorité selon laquelle la situation des requérants n</w:t>
      </w:r>
      <w:r w:rsidR="004618D5" w:rsidRPr="004618D5">
        <w:rPr>
          <w:lang w:val="fr-FR"/>
        </w:rPr>
        <w:t>’</w:t>
      </w:r>
      <w:r w:rsidRPr="004618D5">
        <w:rPr>
          <w:lang w:val="fr-FR"/>
        </w:rPr>
        <w:t>était pas comparable à celle d</w:t>
      </w:r>
      <w:r w:rsidR="004618D5" w:rsidRPr="004618D5">
        <w:rPr>
          <w:lang w:val="fr-FR"/>
        </w:rPr>
        <w:t>’</w:t>
      </w:r>
      <w:r w:rsidRPr="004618D5">
        <w:rPr>
          <w:lang w:val="fr-FR"/>
        </w:rPr>
        <w:t>un couple hétérosexuel stable non marié. Par conséquent, il n</w:t>
      </w:r>
      <w:r w:rsidR="004618D5" w:rsidRPr="004618D5">
        <w:rPr>
          <w:lang w:val="fr-FR"/>
        </w:rPr>
        <w:t>’</w:t>
      </w:r>
      <w:r w:rsidRPr="004618D5">
        <w:rPr>
          <w:lang w:val="fr-FR"/>
        </w:rPr>
        <w:t>est pas nécessaire d</w:t>
      </w:r>
      <w:r w:rsidR="004618D5" w:rsidRPr="004618D5">
        <w:rPr>
          <w:lang w:val="fr-FR"/>
        </w:rPr>
        <w:t>’</w:t>
      </w:r>
      <w:r w:rsidRPr="004618D5">
        <w:rPr>
          <w:lang w:val="fr-FR"/>
        </w:rPr>
        <w:t>aborder la partie de l</w:t>
      </w:r>
      <w:r w:rsidR="004618D5" w:rsidRPr="004618D5">
        <w:rPr>
          <w:lang w:val="fr-FR"/>
        </w:rPr>
        <w:t>’</w:t>
      </w:r>
      <w:r w:rsidRPr="004618D5">
        <w:rPr>
          <w:lang w:val="fr-FR"/>
        </w:rPr>
        <w:t>arrêt sur la question de savoir s</w:t>
      </w:r>
      <w:r w:rsidR="004618D5" w:rsidRPr="004618D5">
        <w:rPr>
          <w:lang w:val="fr-FR"/>
        </w:rPr>
        <w:t>’</w:t>
      </w:r>
      <w:r w:rsidRPr="004618D5">
        <w:rPr>
          <w:lang w:val="fr-FR"/>
        </w:rPr>
        <w:t>il existait ou non une justification objective et raisonnable (paragraphes 87 et suivants de l</w:t>
      </w:r>
      <w:r w:rsidR="004618D5" w:rsidRPr="004618D5">
        <w:rPr>
          <w:lang w:val="fr-FR"/>
        </w:rPr>
        <w:t>’</w:t>
      </w:r>
      <w:r w:rsidRPr="004618D5">
        <w:rPr>
          <w:lang w:val="fr-FR"/>
        </w:rPr>
        <w:t>arrêt). Les deux situations susmentionnées étant comparables, le fait qu</w:t>
      </w:r>
      <w:r w:rsidR="004618D5" w:rsidRPr="004618D5">
        <w:rPr>
          <w:lang w:val="fr-FR"/>
        </w:rPr>
        <w:t>’</w:t>
      </w:r>
      <w:r w:rsidRPr="004618D5">
        <w:rPr>
          <w:lang w:val="fr-FR"/>
        </w:rPr>
        <w:t>elles ont été traitées de façon identique ne constitue pas une discrimination au titre de l</w:t>
      </w:r>
      <w:r w:rsidR="004618D5" w:rsidRPr="004618D5">
        <w:rPr>
          <w:lang w:val="fr-FR"/>
        </w:rPr>
        <w:t>’</w:t>
      </w:r>
      <w:r w:rsidRPr="004618D5">
        <w:rPr>
          <w:lang w:val="fr-FR"/>
        </w:rPr>
        <w:t>article 14 combiné avec l</w:t>
      </w:r>
      <w:r w:rsidR="004618D5" w:rsidRPr="004618D5">
        <w:rPr>
          <w:lang w:val="fr-FR"/>
        </w:rPr>
        <w:t>’</w:t>
      </w:r>
      <w:r w:rsidRPr="004618D5">
        <w:rPr>
          <w:lang w:val="fr-FR"/>
        </w:rPr>
        <w:t>article 8 de la Convention.</w:t>
      </w:r>
    </w:p>
    <w:p w:rsidR="00932BE3" w:rsidRPr="004618D5" w:rsidRDefault="00932BE3" w:rsidP="004618D5">
      <w:pPr>
        <w:pStyle w:val="OpiHA"/>
        <w:rPr>
          <w:lang w:val="fr-FR"/>
        </w:rPr>
      </w:pPr>
      <w:r w:rsidRPr="004618D5">
        <w:rPr>
          <w:lang w:val="fr-FR"/>
        </w:rPr>
        <w:t>II.  La présente affaire pourrait soulever un problème au regard de l</w:t>
      </w:r>
      <w:r w:rsidR="004618D5" w:rsidRPr="004618D5">
        <w:rPr>
          <w:lang w:val="fr-FR"/>
        </w:rPr>
        <w:t>’</w:t>
      </w:r>
      <w:r w:rsidRPr="004618D5">
        <w:rPr>
          <w:lang w:val="fr-FR"/>
        </w:rPr>
        <w:t>article 8 pris isolément</w:t>
      </w:r>
    </w:p>
    <w:p w:rsidR="004618D5" w:rsidRPr="004618D5" w:rsidRDefault="00932BE3" w:rsidP="004618D5">
      <w:pPr>
        <w:pStyle w:val="OpiPara"/>
        <w:rPr>
          <w:spacing w:val="-3"/>
          <w:lang w:val="fr-FR"/>
        </w:rPr>
      </w:pPr>
      <w:r w:rsidRPr="004618D5">
        <w:rPr>
          <w:lang w:val="fr-FR"/>
        </w:rPr>
        <w:t xml:space="preserve">16.  On sait que, depuis le fameux arrêt </w:t>
      </w:r>
      <w:r w:rsidRPr="004618D5">
        <w:rPr>
          <w:i/>
          <w:lang w:val="fr-FR"/>
        </w:rPr>
        <w:t>Marckx c.</w:t>
      </w:r>
      <w:r w:rsidR="00124540" w:rsidRPr="004618D5">
        <w:rPr>
          <w:i/>
          <w:lang w:val="fr-FR"/>
        </w:rPr>
        <w:t> </w:t>
      </w:r>
      <w:r w:rsidRPr="004618D5">
        <w:rPr>
          <w:i/>
          <w:lang w:val="fr-FR"/>
        </w:rPr>
        <w:t>Belgique</w:t>
      </w:r>
      <w:r w:rsidR="004618D5" w:rsidRPr="004618D5">
        <w:rPr>
          <w:lang w:val="fr-FR"/>
        </w:rPr>
        <w:t xml:space="preserve"> (13 juin </w:t>
      </w:r>
      <w:r w:rsidRPr="004618D5">
        <w:rPr>
          <w:lang w:val="fr-FR"/>
        </w:rPr>
        <w:t>1979, série A, n</w:t>
      </w:r>
      <w:r w:rsidR="004618D5" w:rsidRPr="004618D5">
        <w:rPr>
          <w:vertAlign w:val="superscript"/>
          <w:lang w:val="fr-FR"/>
        </w:rPr>
        <w:t>o</w:t>
      </w:r>
      <w:r w:rsidRPr="004618D5">
        <w:rPr>
          <w:lang w:val="fr-FR"/>
        </w:rPr>
        <w:t xml:space="preserve"> 31), la Cour a peu à peu élargi la notion de « vie familiale », qualifiée explicitement de notion autonome (L.-A. </w:t>
      </w:r>
      <w:r w:rsidRPr="004618D5">
        <w:rPr>
          <w:spacing w:val="-3"/>
          <w:lang w:val="fr-FR"/>
        </w:rPr>
        <w:t xml:space="preserve">Sicilianos, « La </w:t>
      </w:r>
      <w:r w:rsidR="004618D5" w:rsidRPr="004618D5">
        <w:rPr>
          <w:spacing w:val="-3"/>
          <w:lang w:val="fr-FR"/>
        </w:rPr>
        <w:t>‘</w:t>
      </w:r>
      <w:r w:rsidRPr="004618D5">
        <w:rPr>
          <w:spacing w:val="-3"/>
          <w:lang w:val="fr-FR"/>
        </w:rPr>
        <w:t>vie familiale</w:t>
      </w:r>
      <w:r w:rsidR="004618D5" w:rsidRPr="004618D5">
        <w:rPr>
          <w:spacing w:val="-3"/>
          <w:lang w:val="fr-FR"/>
        </w:rPr>
        <w:t>’</w:t>
      </w:r>
      <w:r w:rsidRPr="004618D5">
        <w:rPr>
          <w:spacing w:val="-3"/>
          <w:lang w:val="fr-FR"/>
        </w:rPr>
        <w:t xml:space="preserve"> en tant que notion autonome au regard de la CEDH », </w:t>
      </w:r>
      <w:r w:rsidRPr="004618D5">
        <w:rPr>
          <w:i/>
          <w:spacing w:val="-3"/>
          <w:lang w:val="fr-FR"/>
        </w:rPr>
        <w:t>in</w:t>
      </w:r>
      <w:r w:rsidRPr="004618D5">
        <w:rPr>
          <w:spacing w:val="-3"/>
          <w:lang w:val="fr-FR"/>
        </w:rPr>
        <w:t xml:space="preserve"> Casadevall, J., Raimondi, G. </w:t>
      </w:r>
      <w:r w:rsidRPr="004618D5">
        <w:rPr>
          <w:i/>
          <w:spacing w:val="-3"/>
          <w:lang w:val="fr-FR"/>
        </w:rPr>
        <w:t>et al</w:t>
      </w:r>
      <w:r w:rsidRPr="004618D5">
        <w:rPr>
          <w:spacing w:val="-3"/>
          <w:lang w:val="fr-FR"/>
        </w:rPr>
        <w:t xml:space="preserve">. (eds), </w:t>
      </w:r>
      <w:r w:rsidRPr="004618D5">
        <w:rPr>
          <w:i/>
          <w:spacing w:val="-3"/>
          <w:lang w:val="fr-FR"/>
        </w:rPr>
        <w:t>Mélanges en l</w:t>
      </w:r>
      <w:r w:rsidR="004618D5" w:rsidRPr="004618D5">
        <w:rPr>
          <w:i/>
          <w:spacing w:val="-3"/>
          <w:lang w:val="fr-FR"/>
        </w:rPr>
        <w:t>’</w:t>
      </w:r>
      <w:r w:rsidRPr="004618D5">
        <w:rPr>
          <w:i/>
          <w:spacing w:val="-3"/>
          <w:lang w:val="fr-FR"/>
        </w:rPr>
        <w:t>honneur de Dean Spielmann</w:t>
      </w:r>
      <w:r w:rsidRPr="004618D5">
        <w:rPr>
          <w:spacing w:val="-3"/>
          <w:lang w:val="fr-FR"/>
        </w:rPr>
        <w:t xml:space="preserve">, Oisterwijk: Wolf Legal Publishers, 2015, pp. 595-602), pour y inclure notamment – au-delà de la famille traditionnelle – certaines formes de relations </w:t>
      </w:r>
      <w:r w:rsidRPr="004618D5">
        <w:rPr>
          <w:i/>
          <w:spacing w:val="-3"/>
          <w:lang w:val="fr-FR"/>
        </w:rPr>
        <w:t>de facto</w:t>
      </w:r>
      <w:r w:rsidRPr="004618D5">
        <w:rPr>
          <w:spacing w:val="-3"/>
          <w:lang w:val="fr-FR"/>
        </w:rPr>
        <w:t xml:space="preserve"> entre personnes de sexe opposé ou de même sexe (voir notamment </w:t>
      </w:r>
      <w:r w:rsidRPr="004618D5">
        <w:rPr>
          <w:i/>
          <w:lang w:val="fr-FR"/>
        </w:rPr>
        <w:t>Schalk et Kopf c. Autriche</w:t>
      </w:r>
      <w:r w:rsidRPr="004618D5">
        <w:rPr>
          <w:lang w:val="fr-FR"/>
        </w:rPr>
        <w:t>, n</w:t>
      </w:r>
      <w:r w:rsidRPr="004618D5">
        <w:rPr>
          <w:vertAlign w:val="superscript"/>
          <w:lang w:val="fr-FR"/>
        </w:rPr>
        <w:t xml:space="preserve">o </w:t>
      </w:r>
      <w:r w:rsidRPr="004618D5">
        <w:rPr>
          <w:spacing w:val="-3"/>
          <w:lang w:val="fr-FR"/>
        </w:rPr>
        <w:t xml:space="preserve">30141/04, 24 juin 2010, </w:t>
      </w:r>
      <w:r w:rsidRPr="004618D5">
        <w:rPr>
          <w:szCs w:val="24"/>
          <w:lang w:val="fr-FR"/>
        </w:rPr>
        <w:t>§</w:t>
      </w:r>
      <w:r w:rsidRPr="004618D5">
        <w:rPr>
          <w:sz w:val="20"/>
          <w:szCs w:val="20"/>
          <w:lang w:val="fr-FR"/>
        </w:rPr>
        <w:t> </w:t>
      </w:r>
      <w:r w:rsidRPr="004618D5">
        <w:rPr>
          <w:spacing w:val="-3"/>
          <w:lang w:val="fr-FR"/>
        </w:rPr>
        <w:t xml:space="preserve">91 et suivants, et </w:t>
      </w:r>
      <w:r w:rsidRPr="004618D5">
        <w:rPr>
          <w:i/>
          <w:spacing w:val="-3"/>
          <w:lang w:val="fr-FR"/>
        </w:rPr>
        <w:t>Vallianatos et autres c. Grèce</w:t>
      </w:r>
      <w:r w:rsidRPr="004618D5">
        <w:rPr>
          <w:spacing w:val="-3"/>
          <w:lang w:val="fr-FR"/>
        </w:rPr>
        <w:t xml:space="preserve">, précité, </w:t>
      </w:r>
      <w:r w:rsidRPr="004618D5">
        <w:rPr>
          <w:sz w:val="20"/>
          <w:szCs w:val="20"/>
          <w:lang w:val="fr-FR"/>
        </w:rPr>
        <w:t>§ </w:t>
      </w:r>
      <w:r w:rsidRPr="004618D5">
        <w:rPr>
          <w:spacing w:val="-3"/>
          <w:lang w:val="fr-FR"/>
        </w:rPr>
        <w:t>73).</w:t>
      </w:r>
    </w:p>
    <w:p w:rsidR="004618D5" w:rsidRPr="004618D5" w:rsidRDefault="00932BE3" w:rsidP="004618D5">
      <w:pPr>
        <w:pStyle w:val="OpiPara"/>
        <w:rPr>
          <w:szCs w:val="24"/>
          <w:lang w:val="fr-FR"/>
        </w:rPr>
      </w:pPr>
      <w:r w:rsidRPr="004618D5">
        <w:rPr>
          <w:szCs w:val="24"/>
          <w:lang w:val="fr-FR"/>
        </w:rPr>
        <w:t>17.  D</w:t>
      </w:r>
      <w:r w:rsidR="004618D5" w:rsidRPr="004618D5">
        <w:rPr>
          <w:szCs w:val="24"/>
          <w:lang w:val="fr-FR"/>
        </w:rPr>
        <w:t>’</w:t>
      </w:r>
      <w:r w:rsidRPr="004618D5">
        <w:rPr>
          <w:szCs w:val="24"/>
          <w:lang w:val="fr-FR"/>
        </w:rPr>
        <w:t>un autre côté, ainsi qu</w:t>
      </w:r>
      <w:r w:rsidR="004618D5" w:rsidRPr="004618D5">
        <w:rPr>
          <w:szCs w:val="24"/>
          <w:lang w:val="fr-FR"/>
        </w:rPr>
        <w:t>’</w:t>
      </w:r>
      <w:r w:rsidRPr="004618D5">
        <w:rPr>
          <w:szCs w:val="24"/>
          <w:lang w:val="fr-FR"/>
        </w:rPr>
        <w:t>il est rappelé dans le présent arrêt, « suivant un principe de droit international bien établi, les États peuvent, sans préjudice des engagements découlant pour eux de traités, contrôler l</w:t>
      </w:r>
      <w:r w:rsidR="004618D5" w:rsidRPr="004618D5">
        <w:rPr>
          <w:szCs w:val="24"/>
          <w:lang w:val="fr-FR"/>
        </w:rPr>
        <w:t>’</w:t>
      </w:r>
      <w:r w:rsidRPr="004618D5">
        <w:rPr>
          <w:szCs w:val="24"/>
          <w:lang w:val="fr-FR"/>
        </w:rPr>
        <w:t>entrée et le séjour des non-nationaux sur leur sol » (paragraphe 55 de l</w:t>
      </w:r>
      <w:r w:rsidR="004618D5" w:rsidRPr="004618D5">
        <w:rPr>
          <w:szCs w:val="24"/>
          <w:lang w:val="fr-FR"/>
        </w:rPr>
        <w:t>’</w:t>
      </w:r>
      <w:r w:rsidRPr="004618D5">
        <w:rPr>
          <w:szCs w:val="24"/>
          <w:lang w:val="fr-FR"/>
        </w:rPr>
        <w:t>arrêt). S</w:t>
      </w:r>
      <w:r w:rsidR="004618D5" w:rsidRPr="004618D5">
        <w:rPr>
          <w:szCs w:val="24"/>
          <w:lang w:val="fr-FR"/>
        </w:rPr>
        <w:t>’</w:t>
      </w:r>
      <w:r w:rsidRPr="004618D5">
        <w:rPr>
          <w:szCs w:val="24"/>
          <w:lang w:val="fr-FR"/>
        </w:rPr>
        <w:t>il est vrai que la Convention ne garantit pas le droit pour un étranger d</w:t>
      </w:r>
      <w:r w:rsidR="004618D5" w:rsidRPr="004618D5">
        <w:rPr>
          <w:szCs w:val="24"/>
          <w:lang w:val="fr-FR"/>
        </w:rPr>
        <w:t>’</w:t>
      </w:r>
      <w:r w:rsidRPr="004618D5">
        <w:rPr>
          <w:szCs w:val="24"/>
          <w:lang w:val="fr-FR"/>
        </w:rPr>
        <w:t xml:space="preserve">entrer </w:t>
      </w:r>
      <w:r w:rsidRPr="004618D5">
        <w:rPr>
          <w:szCs w:val="24"/>
          <w:lang w:val="fr-FR"/>
        </w:rPr>
        <w:lastRenderedPageBreak/>
        <w:t>ou de résider dans un pays particulier (voir, parmi d</w:t>
      </w:r>
      <w:r w:rsidR="004618D5" w:rsidRPr="004618D5">
        <w:rPr>
          <w:szCs w:val="24"/>
          <w:lang w:val="fr-FR"/>
        </w:rPr>
        <w:t>’</w:t>
      </w:r>
      <w:r w:rsidRPr="004618D5">
        <w:rPr>
          <w:szCs w:val="24"/>
          <w:lang w:val="fr-FR"/>
        </w:rPr>
        <w:t xml:space="preserve">autres, </w:t>
      </w:r>
      <w:r w:rsidRPr="004618D5">
        <w:rPr>
          <w:i/>
          <w:szCs w:val="24"/>
          <w:lang w:val="fr-FR"/>
        </w:rPr>
        <w:t>Nunez c. Norvège</w:t>
      </w:r>
      <w:r w:rsidRPr="004618D5">
        <w:rPr>
          <w:szCs w:val="24"/>
          <w:lang w:val="fr-FR"/>
        </w:rPr>
        <w:t>, n</w:t>
      </w:r>
      <w:r w:rsidRPr="004618D5">
        <w:rPr>
          <w:szCs w:val="24"/>
          <w:vertAlign w:val="superscript"/>
          <w:lang w:val="fr-FR"/>
        </w:rPr>
        <w:t>o</w:t>
      </w:r>
      <w:r w:rsidRPr="004618D5">
        <w:rPr>
          <w:szCs w:val="24"/>
          <w:lang w:val="fr-FR"/>
        </w:rPr>
        <w:t xml:space="preserve"> 55597/09, § 66, 28 juin 2011, et </w:t>
      </w:r>
      <w:r w:rsidRPr="004618D5">
        <w:rPr>
          <w:i/>
          <w:szCs w:val="24"/>
          <w:lang w:val="fr-FR"/>
        </w:rPr>
        <w:t>Jeunesse c. Pays</w:t>
      </w:r>
      <w:r w:rsidRPr="004618D5">
        <w:rPr>
          <w:i/>
          <w:szCs w:val="24"/>
          <w:lang w:val="fr-FR"/>
        </w:rPr>
        <w:noBreakHyphen/>
        <w:t>Bas</w:t>
      </w:r>
      <w:r w:rsidRPr="004618D5">
        <w:rPr>
          <w:szCs w:val="24"/>
          <w:lang w:val="fr-FR"/>
        </w:rPr>
        <w:t xml:space="preserve"> [GC], n</w:t>
      </w:r>
      <w:r w:rsidRPr="004618D5">
        <w:rPr>
          <w:szCs w:val="24"/>
          <w:vertAlign w:val="superscript"/>
          <w:lang w:val="fr-FR"/>
        </w:rPr>
        <w:t>o</w:t>
      </w:r>
      <w:r w:rsidR="005367F1" w:rsidRPr="004618D5">
        <w:rPr>
          <w:szCs w:val="24"/>
          <w:lang w:val="fr-FR"/>
        </w:rPr>
        <w:t> </w:t>
      </w:r>
      <w:r w:rsidRPr="004618D5">
        <w:rPr>
          <w:szCs w:val="24"/>
          <w:lang w:val="fr-FR"/>
        </w:rPr>
        <w:t>12738/10, § 100, CEDH 2014), la Cour a admis que, dans certaines circonstances, l</w:t>
      </w:r>
      <w:r w:rsidR="004618D5" w:rsidRPr="004618D5">
        <w:rPr>
          <w:szCs w:val="24"/>
          <w:lang w:val="fr-FR"/>
        </w:rPr>
        <w:t>’</w:t>
      </w:r>
      <w:r w:rsidRPr="004618D5">
        <w:rPr>
          <w:szCs w:val="24"/>
          <w:lang w:val="fr-FR"/>
        </w:rPr>
        <w:t>éloignement des non-nationaux peut constituer une violation de l</w:t>
      </w:r>
      <w:r w:rsidR="004618D5" w:rsidRPr="004618D5">
        <w:rPr>
          <w:szCs w:val="24"/>
          <w:lang w:val="fr-FR"/>
        </w:rPr>
        <w:t>’</w:t>
      </w:r>
      <w:r w:rsidRPr="004618D5">
        <w:rPr>
          <w:szCs w:val="24"/>
          <w:lang w:val="fr-FR"/>
        </w:rPr>
        <w:t xml:space="preserve">article 8 de la Convention, et elle a fourni un ensemble de critères à cet égard (voir notamment </w:t>
      </w:r>
      <w:r w:rsidRPr="004618D5">
        <w:rPr>
          <w:i/>
          <w:szCs w:val="24"/>
          <w:lang w:val="fr-FR"/>
        </w:rPr>
        <w:t>Üner c. Pays-Bas</w:t>
      </w:r>
      <w:r w:rsidRPr="004618D5">
        <w:rPr>
          <w:szCs w:val="24"/>
          <w:lang w:val="fr-FR"/>
        </w:rPr>
        <w:t xml:space="preserve"> ([GC], n</w:t>
      </w:r>
      <w:r w:rsidRPr="004618D5">
        <w:rPr>
          <w:szCs w:val="24"/>
          <w:vertAlign w:val="superscript"/>
          <w:lang w:val="fr-FR"/>
        </w:rPr>
        <w:t>o</w:t>
      </w:r>
      <w:r w:rsidR="00193BE5" w:rsidRPr="004618D5">
        <w:rPr>
          <w:szCs w:val="24"/>
          <w:lang w:val="fr-FR"/>
        </w:rPr>
        <w:t> </w:t>
      </w:r>
      <w:r w:rsidR="00C508D0" w:rsidRPr="004618D5">
        <w:rPr>
          <w:szCs w:val="24"/>
          <w:lang w:val="fr-FR"/>
        </w:rPr>
        <w:t>46410/99, §§ </w:t>
      </w:r>
      <w:r w:rsidRPr="004618D5">
        <w:rPr>
          <w:szCs w:val="24"/>
          <w:lang w:val="fr-FR"/>
        </w:rPr>
        <w:t>54-60, CEDH 2006</w:t>
      </w:r>
      <w:r w:rsidRPr="004618D5">
        <w:rPr>
          <w:szCs w:val="24"/>
          <w:lang w:val="fr-FR"/>
        </w:rPr>
        <w:noBreakHyphen/>
        <w:t>XII), critères récapitulés et appliqués récemment dans l</w:t>
      </w:r>
      <w:r w:rsidR="004618D5" w:rsidRPr="004618D5">
        <w:rPr>
          <w:szCs w:val="24"/>
          <w:lang w:val="fr-FR"/>
        </w:rPr>
        <w:t>’</w:t>
      </w:r>
      <w:r w:rsidRPr="004618D5">
        <w:rPr>
          <w:szCs w:val="24"/>
          <w:lang w:val="fr-FR"/>
        </w:rPr>
        <w:t xml:space="preserve">arrêt </w:t>
      </w:r>
      <w:r w:rsidRPr="004618D5">
        <w:rPr>
          <w:i/>
          <w:szCs w:val="24"/>
          <w:lang w:val="fr-FR"/>
        </w:rPr>
        <w:t>Kolonja c. Grèce</w:t>
      </w:r>
      <w:r w:rsidRPr="004618D5">
        <w:rPr>
          <w:szCs w:val="24"/>
          <w:lang w:val="fr-FR"/>
        </w:rPr>
        <w:t xml:space="preserve"> (n</w:t>
      </w:r>
      <w:r w:rsidRPr="004618D5">
        <w:rPr>
          <w:szCs w:val="24"/>
          <w:vertAlign w:val="superscript"/>
          <w:lang w:val="fr-FR"/>
        </w:rPr>
        <w:t xml:space="preserve">o </w:t>
      </w:r>
      <w:r w:rsidRPr="004618D5">
        <w:rPr>
          <w:szCs w:val="24"/>
          <w:lang w:val="fr-FR"/>
        </w:rPr>
        <w:t>49441/12, 19 mai 2016, § 48 et suivants). Il importe de noter que la jurisprudence de la Cour en la matière a été dûment prise en compte dans les travaux de la Commission du droit international (CDI) tendant à codifier le droit international général en matière d</w:t>
      </w:r>
      <w:r w:rsidR="004618D5" w:rsidRPr="004618D5">
        <w:rPr>
          <w:szCs w:val="24"/>
          <w:lang w:val="fr-FR"/>
        </w:rPr>
        <w:t>’</w:t>
      </w:r>
      <w:r w:rsidRPr="004618D5">
        <w:rPr>
          <w:szCs w:val="24"/>
          <w:lang w:val="fr-FR"/>
        </w:rPr>
        <w:t>expulsion (voir le projet d</w:t>
      </w:r>
      <w:r w:rsidR="004618D5" w:rsidRPr="004618D5">
        <w:rPr>
          <w:szCs w:val="24"/>
          <w:lang w:val="fr-FR"/>
        </w:rPr>
        <w:t>’</w:t>
      </w:r>
      <w:r w:rsidRPr="004618D5">
        <w:rPr>
          <w:szCs w:val="24"/>
          <w:lang w:val="fr-FR"/>
        </w:rPr>
        <w:t>articles de la CDI sur l</w:t>
      </w:r>
      <w:r w:rsidR="004618D5" w:rsidRPr="004618D5">
        <w:rPr>
          <w:szCs w:val="24"/>
          <w:lang w:val="fr-FR"/>
        </w:rPr>
        <w:t>’</w:t>
      </w:r>
      <w:r w:rsidRPr="004618D5">
        <w:rPr>
          <w:szCs w:val="24"/>
          <w:lang w:val="fr-FR"/>
        </w:rPr>
        <w:t>expulsion des étrangers, adopté lors de la 66</w:t>
      </w:r>
      <w:r w:rsidRPr="004618D5">
        <w:rPr>
          <w:szCs w:val="24"/>
          <w:vertAlign w:val="superscript"/>
          <w:lang w:val="fr-FR"/>
        </w:rPr>
        <w:t>e</w:t>
      </w:r>
      <w:r w:rsidRPr="004618D5">
        <w:rPr>
          <w:szCs w:val="24"/>
          <w:lang w:val="fr-FR"/>
        </w:rPr>
        <w:t xml:space="preserve"> session de la CDI (2014), </w:t>
      </w:r>
      <w:r w:rsidRPr="004618D5">
        <w:rPr>
          <w:i/>
          <w:szCs w:val="24"/>
          <w:lang w:val="fr-FR"/>
        </w:rPr>
        <w:t>Rapport de la CDI</w:t>
      </w:r>
      <w:r w:rsidRPr="004618D5">
        <w:rPr>
          <w:szCs w:val="24"/>
          <w:lang w:val="fr-FR"/>
        </w:rPr>
        <w:t>, UN doc. A/69/10, et notamment l</w:t>
      </w:r>
      <w:r w:rsidR="004618D5" w:rsidRPr="004618D5">
        <w:rPr>
          <w:szCs w:val="24"/>
          <w:lang w:val="fr-FR"/>
        </w:rPr>
        <w:t>’</w:t>
      </w:r>
      <w:r w:rsidRPr="004618D5">
        <w:rPr>
          <w:szCs w:val="24"/>
          <w:lang w:val="fr-FR"/>
        </w:rPr>
        <w:t xml:space="preserve">article 18, intitulé « obligation de respecter le droit à la vie familiale », </w:t>
      </w:r>
      <w:r w:rsidRPr="004618D5">
        <w:rPr>
          <w:i/>
          <w:szCs w:val="24"/>
          <w:lang w:val="fr-FR"/>
        </w:rPr>
        <w:t>ibid</w:t>
      </w:r>
      <w:r w:rsidRPr="004618D5">
        <w:rPr>
          <w:szCs w:val="24"/>
          <w:lang w:val="fr-FR"/>
        </w:rPr>
        <w:t>., p. 46 et le commentaire qui s</w:t>
      </w:r>
      <w:r w:rsidR="004618D5" w:rsidRPr="004618D5">
        <w:rPr>
          <w:szCs w:val="24"/>
          <w:lang w:val="fr-FR"/>
        </w:rPr>
        <w:t>’</w:t>
      </w:r>
      <w:r w:rsidRPr="004618D5">
        <w:rPr>
          <w:szCs w:val="24"/>
          <w:lang w:val="fr-FR"/>
        </w:rPr>
        <w:t>y rapporte).</w:t>
      </w:r>
    </w:p>
    <w:p w:rsidR="00932BE3" w:rsidRPr="004618D5" w:rsidRDefault="00932BE3" w:rsidP="004618D5">
      <w:pPr>
        <w:pStyle w:val="OpiPara"/>
        <w:rPr>
          <w:lang w:val="fr-FR"/>
        </w:rPr>
      </w:pPr>
      <w:r w:rsidRPr="004618D5">
        <w:rPr>
          <w:lang w:val="fr-FR"/>
        </w:rPr>
        <w:t>18.  La question qui se pose à ce stade est de savoir si l</w:t>
      </w:r>
      <w:r w:rsidR="004618D5" w:rsidRPr="004618D5">
        <w:rPr>
          <w:lang w:val="fr-FR"/>
        </w:rPr>
        <w:t>’</w:t>
      </w:r>
      <w:r w:rsidRPr="004618D5">
        <w:rPr>
          <w:lang w:val="fr-FR"/>
        </w:rPr>
        <w:t xml:space="preserve">on peut transposer </w:t>
      </w:r>
      <w:r w:rsidRPr="004618D5">
        <w:rPr>
          <w:i/>
          <w:lang w:val="fr-FR"/>
        </w:rPr>
        <w:t>mutatis mutandis</w:t>
      </w:r>
      <w:r w:rsidRPr="004618D5">
        <w:rPr>
          <w:lang w:val="fr-FR"/>
        </w:rPr>
        <w:t xml:space="preserve"> la logique qui sous-tend cette jurisprudence dans le domaine du regroupement familial. Se référant aux éléments de la présente affaire, on note que l</w:t>
      </w:r>
      <w:r w:rsidR="004618D5" w:rsidRPr="004618D5">
        <w:rPr>
          <w:lang w:val="fr-FR"/>
        </w:rPr>
        <w:t>’</w:t>
      </w:r>
      <w:r w:rsidRPr="004618D5">
        <w:rPr>
          <w:lang w:val="fr-FR"/>
        </w:rPr>
        <w:t>ECSOL, en tant que tiers intervenant, a présenté une étude de droit comparé quant à la possibilité, pour les partenaires homosexuels, d</w:t>
      </w:r>
      <w:r w:rsidR="004618D5" w:rsidRPr="004618D5">
        <w:rPr>
          <w:lang w:val="fr-FR"/>
        </w:rPr>
        <w:t>’</w:t>
      </w:r>
      <w:r w:rsidRPr="004618D5">
        <w:rPr>
          <w:lang w:val="fr-FR"/>
        </w:rPr>
        <w:t>obtenir un permis de séjour dans des pays d</w:t>
      </w:r>
      <w:r w:rsidR="004618D5" w:rsidRPr="004618D5">
        <w:rPr>
          <w:lang w:val="fr-FR"/>
        </w:rPr>
        <w:t>’</w:t>
      </w:r>
      <w:r w:rsidRPr="004618D5">
        <w:rPr>
          <w:lang w:val="fr-FR"/>
        </w:rPr>
        <w:t>accueil (paragraphe 79 de l</w:t>
      </w:r>
      <w:r w:rsidR="004618D5" w:rsidRPr="004618D5">
        <w:rPr>
          <w:lang w:val="fr-FR"/>
        </w:rPr>
        <w:t>’</w:t>
      </w:r>
      <w:r w:rsidRPr="004618D5">
        <w:rPr>
          <w:lang w:val="fr-FR"/>
        </w:rPr>
        <w:t>arrêt), démontrant qu</w:t>
      </w:r>
      <w:r w:rsidR="004618D5" w:rsidRPr="004618D5">
        <w:rPr>
          <w:lang w:val="fr-FR"/>
        </w:rPr>
        <w:t>’</w:t>
      </w:r>
      <w:r w:rsidRPr="004618D5">
        <w:rPr>
          <w:lang w:val="fr-FR"/>
        </w:rPr>
        <w:t>il existe une tendance positive importante en ce sens. L</w:t>
      </w:r>
      <w:r w:rsidR="004618D5" w:rsidRPr="004618D5">
        <w:rPr>
          <w:lang w:val="fr-FR"/>
        </w:rPr>
        <w:t>’</w:t>
      </w:r>
      <w:r w:rsidRPr="004618D5">
        <w:rPr>
          <w:lang w:val="fr-FR"/>
        </w:rPr>
        <w:t>étude en question fait également valoir qu</w:t>
      </w:r>
      <w:r w:rsidR="004618D5" w:rsidRPr="004618D5">
        <w:rPr>
          <w:lang w:val="fr-FR"/>
        </w:rPr>
        <w:t>’</w:t>
      </w:r>
      <w:r w:rsidRPr="004618D5">
        <w:rPr>
          <w:lang w:val="fr-FR"/>
        </w:rPr>
        <w:t>au moins 24 États n</w:t>
      </w:r>
      <w:r w:rsidR="004618D5" w:rsidRPr="004618D5">
        <w:rPr>
          <w:lang w:val="fr-FR"/>
        </w:rPr>
        <w:t>’</w:t>
      </w:r>
      <w:r w:rsidRPr="004618D5">
        <w:rPr>
          <w:lang w:val="fr-FR"/>
        </w:rPr>
        <w:t>opèrent aucune discrimination fondée sur l</w:t>
      </w:r>
      <w:r w:rsidR="004618D5" w:rsidRPr="004618D5">
        <w:rPr>
          <w:lang w:val="fr-FR"/>
        </w:rPr>
        <w:t>’</w:t>
      </w:r>
      <w:r w:rsidRPr="004618D5">
        <w:rPr>
          <w:lang w:val="fr-FR"/>
        </w:rPr>
        <w:t>orientation sexuelle dans l</w:t>
      </w:r>
      <w:r w:rsidR="004618D5" w:rsidRPr="004618D5">
        <w:rPr>
          <w:lang w:val="fr-FR"/>
        </w:rPr>
        <w:t>’</w:t>
      </w:r>
      <w:r w:rsidRPr="004618D5">
        <w:rPr>
          <w:lang w:val="fr-FR"/>
        </w:rPr>
        <w:t>octroi des permis de séjour (</w:t>
      </w:r>
      <w:r w:rsidRPr="004618D5">
        <w:rPr>
          <w:i/>
          <w:lang w:val="fr-FR"/>
        </w:rPr>
        <w:t>ibidem</w:t>
      </w:r>
      <w:r w:rsidRPr="004618D5">
        <w:rPr>
          <w:lang w:val="fr-FR"/>
        </w:rPr>
        <w:t>). Les requérants et les autres tiers intervenants présentent eux aussi des éléments de droit comparé qui accréditent la même idée (paragraphes</w:t>
      </w:r>
      <w:r w:rsidR="002E22F6" w:rsidRPr="004618D5">
        <w:rPr>
          <w:lang w:val="fr-FR"/>
        </w:rPr>
        <w:t> </w:t>
      </w:r>
      <w:r w:rsidRPr="004618D5">
        <w:rPr>
          <w:lang w:val="fr-FR"/>
        </w:rPr>
        <w:t>72 et 75 et suivants de l</w:t>
      </w:r>
      <w:r w:rsidR="004618D5" w:rsidRPr="004618D5">
        <w:rPr>
          <w:lang w:val="fr-FR"/>
        </w:rPr>
        <w:t>’</w:t>
      </w:r>
      <w:r w:rsidRPr="004618D5">
        <w:rPr>
          <w:lang w:val="fr-FR"/>
        </w:rPr>
        <w:t>arrêt). On note par ailleurs que la directive n</w:t>
      </w:r>
      <w:r w:rsidRPr="004618D5">
        <w:rPr>
          <w:vertAlign w:val="superscript"/>
          <w:lang w:val="fr-FR"/>
        </w:rPr>
        <w:t>o</w:t>
      </w:r>
      <w:r w:rsidRPr="004618D5">
        <w:rPr>
          <w:lang w:val="fr-FR"/>
        </w:rPr>
        <w:t xml:space="preserve"> 2004/38/CE (citée au paragraphe 29 de l</w:t>
      </w:r>
      <w:r w:rsidR="004618D5" w:rsidRPr="004618D5">
        <w:rPr>
          <w:lang w:val="fr-FR"/>
        </w:rPr>
        <w:t>’</w:t>
      </w:r>
      <w:r w:rsidRPr="004618D5">
        <w:rPr>
          <w:lang w:val="fr-FR"/>
        </w:rPr>
        <w:t>arrêt) donne une définition large de la notion de « membre de la famille » pour englober, outre le conjoint, le « partenaire » du citoyen de l</w:t>
      </w:r>
      <w:r w:rsidR="004618D5" w:rsidRPr="004618D5">
        <w:rPr>
          <w:lang w:val="fr-FR"/>
        </w:rPr>
        <w:t>’</w:t>
      </w:r>
      <w:r w:rsidRPr="004618D5">
        <w:rPr>
          <w:lang w:val="fr-FR"/>
        </w:rPr>
        <w:t>UE circulant au sein de l</w:t>
      </w:r>
      <w:r w:rsidR="004618D5" w:rsidRPr="004618D5">
        <w:rPr>
          <w:lang w:val="fr-FR"/>
        </w:rPr>
        <w:t>’</w:t>
      </w:r>
      <w:r w:rsidRPr="004618D5">
        <w:rPr>
          <w:lang w:val="fr-FR"/>
        </w:rPr>
        <w:t>Union, sans aucune distinction fondée sur l</w:t>
      </w:r>
      <w:r w:rsidR="004618D5" w:rsidRPr="004618D5">
        <w:rPr>
          <w:lang w:val="fr-FR"/>
        </w:rPr>
        <w:t>’</w:t>
      </w:r>
      <w:r w:rsidRPr="004618D5">
        <w:rPr>
          <w:lang w:val="fr-FR"/>
        </w:rPr>
        <w:t>orientation sexuelle. La résolution du Parlement européen du 2 avril 2009 (mentionnée aux paragraphes 31 et 32 de l</w:t>
      </w:r>
      <w:r w:rsidR="004618D5" w:rsidRPr="004618D5">
        <w:rPr>
          <w:lang w:val="fr-FR"/>
        </w:rPr>
        <w:t>’</w:t>
      </w:r>
      <w:r w:rsidRPr="004618D5">
        <w:rPr>
          <w:lang w:val="fr-FR"/>
        </w:rPr>
        <w:t>arrêt) prônait un élargissement du champ d</w:t>
      </w:r>
      <w:r w:rsidR="004618D5" w:rsidRPr="004618D5">
        <w:rPr>
          <w:lang w:val="fr-FR"/>
        </w:rPr>
        <w:t>’</w:t>
      </w:r>
      <w:r w:rsidRPr="004618D5">
        <w:rPr>
          <w:lang w:val="fr-FR"/>
        </w:rPr>
        <w:t xml:space="preserve">application de la directive en question, à la suite, notamment, des arrêts de la CJUE dans les affaires </w:t>
      </w:r>
      <w:r w:rsidRPr="004618D5">
        <w:rPr>
          <w:i/>
          <w:lang w:val="fr-FR"/>
        </w:rPr>
        <w:t>Metock, Jipa</w:t>
      </w:r>
      <w:r w:rsidRPr="004618D5">
        <w:rPr>
          <w:lang w:val="fr-FR"/>
        </w:rPr>
        <w:t xml:space="preserve"> et </w:t>
      </w:r>
      <w:r w:rsidRPr="004618D5">
        <w:rPr>
          <w:i/>
          <w:lang w:val="fr-FR"/>
        </w:rPr>
        <w:t>Huber</w:t>
      </w:r>
      <w:r w:rsidRPr="004618D5">
        <w:rPr>
          <w:lang w:val="fr-FR"/>
        </w:rPr>
        <w:t>. Dans un ordre d</w:t>
      </w:r>
      <w:r w:rsidR="004618D5" w:rsidRPr="004618D5">
        <w:rPr>
          <w:lang w:val="fr-FR"/>
        </w:rPr>
        <w:t>’</w:t>
      </w:r>
      <w:r w:rsidRPr="004618D5">
        <w:rPr>
          <w:lang w:val="fr-FR"/>
        </w:rPr>
        <w:t>idées voisin, la recommandation 1686 (2004) de l</w:t>
      </w:r>
      <w:r w:rsidR="004618D5" w:rsidRPr="004618D5">
        <w:rPr>
          <w:lang w:val="fr-FR"/>
        </w:rPr>
        <w:t>’</w:t>
      </w:r>
      <w:r w:rsidRPr="004618D5">
        <w:rPr>
          <w:lang w:val="fr-FR"/>
        </w:rPr>
        <w:t>APCE relative à la mobilité humaine et au droit au regroupement familial, citée au parag</w:t>
      </w:r>
      <w:r w:rsidR="004A4836" w:rsidRPr="004618D5">
        <w:rPr>
          <w:lang w:val="fr-FR"/>
        </w:rPr>
        <w:t>raphe </w:t>
      </w:r>
      <w:r w:rsidRPr="004618D5">
        <w:rPr>
          <w:lang w:val="fr-FR"/>
        </w:rPr>
        <w:t>34 de l</w:t>
      </w:r>
      <w:r w:rsidR="004618D5" w:rsidRPr="004618D5">
        <w:rPr>
          <w:lang w:val="fr-FR"/>
        </w:rPr>
        <w:t>’</w:t>
      </w:r>
      <w:r w:rsidRPr="004618D5">
        <w:rPr>
          <w:lang w:val="fr-FR"/>
        </w:rPr>
        <w:t>arrêt, recommande au Comité des Ministres, entre autres, « [d</w:t>
      </w:r>
      <w:r w:rsidR="004618D5" w:rsidRPr="004618D5">
        <w:rPr>
          <w:lang w:val="fr-FR"/>
        </w:rPr>
        <w:t>’</w:t>
      </w:r>
      <w:r w:rsidRPr="004618D5">
        <w:rPr>
          <w:lang w:val="fr-FR"/>
        </w:rPr>
        <w:t>] appliquer, lorsque cela est possible et approprié, une interprétation large de la notion de « famille » et en particulier [d</w:t>
      </w:r>
      <w:r w:rsidR="004618D5" w:rsidRPr="004618D5">
        <w:rPr>
          <w:lang w:val="fr-FR"/>
        </w:rPr>
        <w:t>’</w:t>
      </w:r>
      <w:r w:rsidRPr="004618D5">
        <w:rPr>
          <w:lang w:val="fr-FR"/>
        </w:rPr>
        <w:t>] inclure dans cette définition les membres de la famille naturelle, les concubins, y compris les partenaires de même sexe (</w:t>
      </w:r>
      <w:r w:rsidR="004618D5" w:rsidRPr="004618D5">
        <w:rPr>
          <w:lang w:val="fr-FR"/>
        </w:rPr>
        <w:t>...</w:t>
      </w:r>
      <w:r w:rsidRPr="004618D5">
        <w:rPr>
          <w:lang w:val="fr-FR"/>
        </w:rPr>
        <w:t>) ». L</w:t>
      </w:r>
      <w:r w:rsidR="004618D5" w:rsidRPr="004618D5">
        <w:rPr>
          <w:lang w:val="fr-FR"/>
        </w:rPr>
        <w:t>’</w:t>
      </w:r>
      <w:r w:rsidRPr="004618D5">
        <w:rPr>
          <w:lang w:val="fr-FR"/>
        </w:rPr>
        <w:t>ensemble de ces éléments accrédite l</w:t>
      </w:r>
      <w:r w:rsidR="004618D5" w:rsidRPr="004618D5">
        <w:rPr>
          <w:lang w:val="fr-FR"/>
        </w:rPr>
        <w:t>’</w:t>
      </w:r>
      <w:r w:rsidRPr="004618D5">
        <w:rPr>
          <w:lang w:val="fr-FR"/>
        </w:rPr>
        <w:t xml:space="preserve">idée selon laquelle il y aurait une tendance de plus en plus significative à </w:t>
      </w:r>
      <w:r w:rsidRPr="004618D5">
        <w:rPr>
          <w:lang w:val="fr-FR"/>
        </w:rPr>
        <w:lastRenderedPageBreak/>
        <w:t>permettre le regroupement familial et octroyer un permis de séjour non seulement aux conjoints mais aussi aux partenaires, sans distinction fondée sur l</w:t>
      </w:r>
      <w:r w:rsidR="004618D5" w:rsidRPr="004618D5">
        <w:rPr>
          <w:lang w:val="fr-FR"/>
        </w:rPr>
        <w:t>’</w:t>
      </w:r>
      <w:r w:rsidRPr="004618D5">
        <w:rPr>
          <w:lang w:val="fr-FR"/>
        </w:rPr>
        <w:t>orientation sexuelle. Encore faut-il que les intéressés puissent faire valoir qu</w:t>
      </w:r>
      <w:r w:rsidR="004618D5" w:rsidRPr="004618D5">
        <w:rPr>
          <w:lang w:val="fr-FR"/>
        </w:rPr>
        <w:t>’</w:t>
      </w:r>
      <w:r w:rsidRPr="004618D5">
        <w:rPr>
          <w:lang w:val="fr-FR"/>
        </w:rPr>
        <w:t>ils sont engagés dans une relation durable et</w:t>
      </w:r>
      <w:r w:rsidR="00E63D16" w:rsidRPr="004618D5">
        <w:rPr>
          <w:lang w:val="fr-FR"/>
        </w:rPr>
        <w:t xml:space="preserve"> dûment attestée.</w:t>
      </w:r>
    </w:p>
    <w:p w:rsidR="00932BE3" w:rsidRPr="004618D5" w:rsidRDefault="00932BE3" w:rsidP="004618D5">
      <w:pPr>
        <w:pStyle w:val="OpiPara"/>
        <w:rPr>
          <w:lang w:val="fr-FR"/>
        </w:rPr>
      </w:pPr>
      <w:r w:rsidRPr="004618D5">
        <w:rPr>
          <w:lang w:val="fr-FR"/>
        </w:rPr>
        <w:t>19.  Les éléments en question présentent un intérêt certain. Ils auraient mérité d</w:t>
      </w:r>
      <w:r w:rsidR="004618D5" w:rsidRPr="004618D5">
        <w:rPr>
          <w:lang w:val="fr-FR"/>
        </w:rPr>
        <w:t>’</w:t>
      </w:r>
      <w:r w:rsidRPr="004618D5">
        <w:rPr>
          <w:lang w:val="fr-FR"/>
        </w:rPr>
        <w:t>être davantage vérifiés et analysés pour que la Cour puisse déterminer si la tendance en question est suffisamment forte à l</w:t>
      </w:r>
      <w:r w:rsidR="004618D5" w:rsidRPr="004618D5">
        <w:rPr>
          <w:lang w:val="fr-FR"/>
        </w:rPr>
        <w:t>’</w:t>
      </w:r>
      <w:r w:rsidRPr="004618D5">
        <w:rPr>
          <w:lang w:val="fr-FR"/>
        </w:rPr>
        <w:t>heure actuelle au niveau paneuropéen. Si tel est effectivement le cas, et conformément à la méthodologie suivie par la Cour, l</w:t>
      </w:r>
      <w:r w:rsidR="004618D5" w:rsidRPr="004618D5">
        <w:rPr>
          <w:lang w:val="fr-FR"/>
        </w:rPr>
        <w:t>’</w:t>
      </w:r>
      <w:r w:rsidRPr="004618D5">
        <w:rPr>
          <w:lang w:val="fr-FR"/>
        </w:rPr>
        <w:t>existence d</w:t>
      </w:r>
      <w:r w:rsidR="004618D5" w:rsidRPr="004618D5">
        <w:rPr>
          <w:lang w:val="fr-FR"/>
        </w:rPr>
        <w:t>’</w:t>
      </w:r>
      <w:r w:rsidRPr="004618D5">
        <w:rPr>
          <w:lang w:val="fr-FR"/>
        </w:rPr>
        <w:t>une telle tendance limiterait la marge d</w:t>
      </w:r>
      <w:r w:rsidR="004618D5" w:rsidRPr="004618D5">
        <w:rPr>
          <w:lang w:val="fr-FR"/>
        </w:rPr>
        <w:t>’</w:t>
      </w:r>
      <w:r w:rsidRPr="004618D5">
        <w:rPr>
          <w:lang w:val="fr-FR"/>
        </w:rPr>
        <w:t>appréciation des États en la matière et soulèverait la question du respect de l</w:t>
      </w:r>
      <w:r w:rsidR="004618D5" w:rsidRPr="004618D5">
        <w:rPr>
          <w:lang w:val="fr-FR"/>
        </w:rPr>
        <w:t>’</w:t>
      </w:r>
      <w:r w:rsidRPr="004618D5">
        <w:rPr>
          <w:lang w:val="fr-FR"/>
        </w:rPr>
        <w:t>article 8 pris isolément.</w:t>
      </w:r>
    </w:p>
    <w:sectPr w:rsidR="00932BE3" w:rsidRPr="004618D5" w:rsidSect="00CE0275">
      <w:headerReference w:type="default" r:id="rId17"/>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6E" w:rsidRPr="0045067D" w:rsidRDefault="0016006E" w:rsidP="00E77CB3">
      <w:pPr>
        <w:rPr>
          <w:lang w:val="fr-FR"/>
        </w:rPr>
      </w:pPr>
      <w:r w:rsidRPr="0045067D">
        <w:rPr>
          <w:lang w:val="fr-FR"/>
        </w:rPr>
        <w:separator/>
      </w:r>
    </w:p>
  </w:endnote>
  <w:endnote w:type="continuationSeparator" w:id="0">
    <w:p w:rsidR="0016006E" w:rsidRPr="0045067D" w:rsidRDefault="0016006E"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9F" w:rsidRPr="00150BFA" w:rsidRDefault="00820E9F" w:rsidP="00B55B33">
    <w:pPr>
      <w:jc w:val="center"/>
    </w:pPr>
    <w:r>
      <w:rPr>
        <w:noProof/>
        <w:lang w:val="it-IT" w:eastAsia="it-IT"/>
      </w:rPr>
      <w:drawing>
        <wp:inline distT="0" distB="0" distL="0" distR="0" wp14:anchorId="45688614" wp14:editId="55EC7FFC">
          <wp:extent cx="771525" cy="619125"/>
          <wp:effectExtent l="0" t="0" r="9525" b="9525"/>
          <wp:docPr id="35" name="Picture 3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20E9F" w:rsidRDefault="00820E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6E" w:rsidRPr="0045067D" w:rsidRDefault="0016006E" w:rsidP="00E77CB3">
      <w:pPr>
        <w:rPr>
          <w:lang w:val="fr-FR"/>
        </w:rPr>
      </w:pPr>
      <w:r w:rsidRPr="0045067D">
        <w:rPr>
          <w:lang w:val="fr-FR"/>
        </w:rPr>
        <w:separator/>
      </w:r>
    </w:p>
  </w:footnote>
  <w:footnote w:type="continuationSeparator" w:id="0">
    <w:p w:rsidR="0016006E" w:rsidRPr="0045067D" w:rsidRDefault="0016006E" w:rsidP="00E77CB3">
      <w:pPr>
        <w:rPr>
          <w:lang w:val="fr-FR"/>
        </w:rPr>
      </w:pPr>
      <w:r w:rsidRPr="0045067D">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9F" w:rsidRPr="0045067D" w:rsidRDefault="00820E9F" w:rsidP="00B55B33">
    <w:pPr>
      <w:pStyle w:val="ECHRHeade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9F" w:rsidRPr="00A45145" w:rsidRDefault="00820E9F" w:rsidP="00B55B33">
    <w:pPr>
      <w:jc w:val="center"/>
    </w:pPr>
    <w:r>
      <w:rPr>
        <w:noProof/>
        <w:lang w:val="it-IT" w:eastAsia="it-IT"/>
      </w:rPr>
      <w:drawing>
        <wp:inline distT="0" distB="0" distL="0" distR="0" wp14:anchorId="761FF05A" wp14:editId="4254AC73">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20E9F" w:rsidRDefault="00820E9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9F" w:rsidRPr="00F01C64" w:rsidRDefault="00820E9F" w:rsidP="00C611D8">
    <w:pPr>
      <w:pStyle w:val="ECHRHeader"/>
      <w:rPr>
        <w:lang w:val="fr-FR"/>
      </w:rPr>
    </w:pPr>
    <w:r>
      <w:rPr>
        <w:rStyle w:val="Numeropagina"/>
      </w:rPr>
      <w:fldChar w:fldCharType="begin"/>
    </w:r>
    <w:r w:rsidRPr="00F01C64">
      <w:rPr>
        <w:rStyle w:val="Numeropagina"/>
        <w:lang w:val="fr-FR"/>
      </w:rPr>
      <w:instrText xml:space="preserve"> PAGE </w:instrText>
    </w:r>
    <w:r>
      <w:rPr>
        <w:rStyle w:val="Numeropagina"/>
      </w:rPr>
      <w:fldChar w:fldCharType="separate"/>
    </w:r>
    <w:r w:rsidR="00CC58EC">
      <w:rPr>
        <w:rStyle w:val="Numeropagina"/>
        <w:noProof/>
        <w:lang w:val="fr-FR"/>
      </w:rPr>
      <w:t>6</w:t>
    </w:r>
    <w:r>
      <w:rPr>
        <w:rStyle w:val="Numeropagina"/>
      </w:rPr>
      <w:fldChar w:fldCharType="end"/>
    </w:r>
    <w:r w:rsidRPr="00F01C64">
      <w:rPr>
        <w:rStyle w:val="Numeropagina"/>
        <w:lang w:val="fr-FR"/>
      </w:rPr>
      <w:tab/>
    </w:r>
    <w:r>
      <w:rPr>
        <w:noProof/>
        <w:lang w:val="fr-FR"/>
      </w:rPr>
      <w:t>ARRÊT</w:t>
    </w:r>
    <w:r w:rsidRPr="00F01C64">
      <w:rPr>
        <w:lang w:val="fr-FR"/>
      </w:rPr>
      <w:t xml:space="preserve"> TADDEUCCI ET M</w:t>
    </w:r>
    <w:r>
      <w:rPr>
        <w:lang w:val="fr-FR"/>
      </w:rPr>
      <w:t>c</w:t>
    </w:r>
    <w:r w:rsidRPr="00F01C64">
      <w:rPr>
        <w:lang w:val="fr-FR"/>
      </w:rPr>
      <w:t xml:space="preserve">CALL c. </w:t>
    </w:r>
    <w:r w:rsidR="00504659">
      <w:rPr>
        <w:lang w:val="fr-FR"/>
      </w:rPr>
      <w:t>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9F" w:rsidRPr="0045067D" w:rsidRDefault="00820E9F" w:rsidP="00C63990">
    <w:pPr>
      <w:pStyle w:val="ECHRHeader"/>
      <w:rPr>
        <w:lang w:val="fr-FR"/>
      </w:rPr>
    </w:pPr>
    <w:r w:rsidRPr="0045067D">
      <w:rPr>
        <w:lang w:val="fr-FR"/>
      </w:rPr>
      <w:tab/>
    </w:r>
    <w:r>
      <w:rPr>
        <w:noProof/>
        <w:lang w:val="fr-FR"/>
      </w:rPr>
      <w:t>ARRÊT</w:t>
    </w:r>
    <w:r w:rsidRPr="00F01C64">
      <w:rPr>
        <w:lang w:val="fr-FR"/>
      </w:rPr>
      <w:t xml:space="preserve"> TADDEUCCI ET M</w:t>
    </w:r>
    <w:r>
      <w:rPr>
        <w:lang w:val="fr-FR"/>
      </w:rPr>
      <w:t>c</w:t>
    </w:r>
    <w:r w:rsidRPr="00F01C64">
      <w:rPr>
        <w:lang w:val="fr-FR"/>
      </w:rPr>
      <w:t xml:space="preserve">CALL c. </w:t>
    </w:r>
    <w:r w:rsidR="004616BB">
      <w:rPr>
        <w:lang w:val="fr-FR"/>
      </w:rPr>
      <w:t>ITALIE</w:t>
    </w:r>
    <w:r w:rsidRPr="00F01C64">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CC58EC">
      <w:rPr>
        <w:rStyle w:val="Numeropagina"/>
        <w:noProof/>
        <w:lang w:val="fr-FR"/>
      </w:rPr>
      <w:t>1</w:t>
    </w:r>
    <w:r>
      <w:rPr>
        <w:rStyle w:val="Numeropagina"/>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9F" w:rsidRPr="00F01C64" w:rsidRDefault="00820E9F" w:rsidP="00C611D8">
    <w:pPr>
      <w:pStyle w:val="ECHRHeader"/>
      <w:rPr>
        <w:lang w:val="fr-FR"/>
      </w:rPr>
    </w:pPr>
    <w:r>
      <w:rPr>
        <w:rStyle w:val="Numeropagina"/>
      </w:rPr>
      <w:fldChar w:fldCharType="begin"/>
    </w:r>
    <w:r w:rsidRPr="00F01C64">
      <w:rPr>
        <w:rStyle w:val="Numeropagina"/>
        <w:lang w:val="fr-FR"/>
      </w:rPr>
      <w:instrText xml:space="preserve"> PAGE </w:instrText>
    </w:r>
    <w:r>
      <w:rPr>
        <w:rStyle w:val="Numeropagina"/>
      </w:rPr>
      <w:fldChar w:fldCharType="separate"/>
    </w:r>
    <w:r w:rsidR="00CC58EC">
      <w:rPr>
        <w:rStyle w:val="Numeropagina"/>
        <w:noProof/>
        <w:lang w:val="fr-FR"/>
      </w:rPr>
      <w:t>38</w:t>
    </w:r>
    <w:r>
      <w:rPr>
        <w:rStyle w:val="Numeropagina"/>
      </w:rPr>
      <w:fldChar w:fldCharType="end"/>
    </w:r>
    <w:r w:rsidRPr="00F01C64">
      <w:rPr>
        <w:rStyle w:val="Numeropagina"/>
        <w:lang w:val="fr-FR"/>
      </w:rPr>
      <w:tab/>
    </w:r>
    <w:r>
      <w:rPr>
        <w:noProof/>
        <w:lang w:val="fr-FR"/>
      </w:rPr>
      <w:t>ARRÊT</w:t>
    </w:r>
    <w:r w:rsidRPr="00F01C64">
      <w:rPr>
        <w:lang w:val="fr-FR"/>
      </w:rPr>
      <w:t xml:space="preserve"> TADDEUCCI ET M</w:t>
    </w:r>
    <w:r>
      <w:rPr>
        <w:lang w:val="fr-FR"/>
      </w:rPr>
      <w:t>c</w:t>
    </w:r>
    <w:r w:rsidRPr="00F01C64">
      <w:rPr>
        <w:lang w:val="fr-FR"/>
      </w:rPr>
      <w:t xml:space="preserve">CALL c. </w:t>
    </w:r>
    <w:r>
      <w:rPr>
        <w:lang w:val="fr-FR"/>
      </w:rPr>
      <w:t>ITALIE – OPINION</w:t>
    </w:r>
    <w:r w:rsidR="00836435">
      <w:rPr>
        <w:lang w:val="fr-FR"/>
      </w:rPr>
      <w:t>S</w:t>
    </w:r>
    <w:r>
      <w:rPr>
        <w:lang w:val="fr-FR"/>
      </w:rPr>
      <w:t xml:space="preserve"> SÉPARÉE</w:t>
    </w:r>
    <w:r w:rsidR="00836435">
      <w:rPr>
        <w:lang w:val="fr-FR"/>
      </w:rPr>
      <w: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69" w:rsidRPr="0045067D" w:rsidRDefault="00E12369" w:rsidP="00C63990">
    <w:pPr>
      <w:pStyle w:val="ECHRHeader"/>
      <w:rPr>
        <w:lang w:val="fr-FR"/>
      </w:rPr>
    </w:pPr>
    <w:r w:rsidRPr="0045067D">
      <w:rPr>
        <w:lang w:val="fr-FR"/>
      </w:rPr>
      <w:tab/>
    </w:r>
    <w:r>
      <w:rPr>
        <w:noProof/>
        <w:lang w:val="fr-FR"/>
      </w:rPr>
      <w:t>ARRÊT</w:t>
    </w:r>
    <w:r w:rsidRPr="00F01C64">
      <w:rPr>
        <w:lang w:val="fr-FR"/>
      </w:rPr>
      <w:t xml:space="preserve"> TADDEUCCI ET M</w:t>
    </w:r>
    <w:r>
      <w:rPr>
        <w:lang w:val="fr-FR"/>
      </w:rPr>
      <w:t>c</w:t>
    </w:r>
    <w:r w:rsidRPr="00F01C64">
      <w:rPr>
        <w:lang w:val="fr-FR"/>
      </w:rPr>
      <w:t xml:space="preserve">CALL c. </w:t>
    </w:r>
    <w:r>
      <w:rPr>
        <w:lang w:val="fr-FR"/>
      </w:rPr>
      <w:t xml:space="preserve">ITALIE </w:t>
    </w:r>
    <w:r w:rsidRPr="00E12369">
      <w:rPr>
        <w:lang w:val="fr-FR"/>
      </w:rPr>
      <w:t>– OPINIONS SÉPARÉES</w:t>
    </w:r>
    <w:r w:rsidRPr="00F01C64">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CC58EC">
      <w:rPr>
        <w:rStyle w:val="Numeropagina"/>
        <w:noProof/>
        <w:lang w:val="fr-FR"/>
      </w:rPr>
      <w:t>39</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22"/>
  </w:num>
  <w:num w:numId="16">
    <w:abstractNumId w:val="26"/>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F01C64"/>
    <w:rsid w:val="000041F8"/>
    <w:rsid w:val="000042A8"/>
    <w:rsid w:val="00004308"/>
    <w:rsid w:val="00005BF0"/>
    <w:rsid w:val="0000654A"/>
    <w:rsid w:val="00007154"/>
    <w:rsid w:val="000103AE"/>
    <w:rsid w:val="00011D69"/>
    <w:rsid w:val="00012AD3"/>
    <w:rsid w:val="00015C2D"/>
    <w:rsid w:val="00015F00"/>
    <w:rsid w:val="000171E5"/>
    <w:rsid w:val="00022C1D"/>
    <w:rsid w:val="00023463"/>
    <w:rsid w:val="00024205"/>
    <w:rsid w:val="00026668"/>
    <w:rsid w:val="00027CE2"/>
    <w:rsid w:val="00030449"/>
    <w:rsid w:val="00034987"/>
    <w:rsid w:val="0003615C"/>
    <w:rsid w:val="00044351"/>
    <w:rsid w:val="00045C89"/>
    <w:rsid w:val="000464B4"/>
    <w:rsid w:val="00052B6D"/>
    <w:rsid w:val="0005647F"/>
    <w:rsid w:val="000602DF"/>
    <w:rsid w:val="00061B05"/>
    <w:rsid w:val="000632D5"/>
    <w:rsid w:val="000644EE"/>
    <w:rsid w:val="00064EEB"/>
    <w:rsid w:val="00066A71"/>
    <w:rsid w:val="000727FD"/>
    <w:rsid w:val="00075E4D"/>
    <w:rsid w:val="00082CAF"/>
    <w:rsid w:val="000861A9"/>
    <w:rsid w:val="00086565"/>
    <w:rsid w:val="000925AD"/>
    <w:rsid w:val="00096DC7"/>
    <w:rsid w:val="000A24EB"/>
    <w:rsid w:val="000A4588"/>
    <w:rsid w:val="000B057C"/>
    <w:rsid w:val="000B19FF"/>
    <w:rsid w:val="000B6923"/>
    <w:rsid w:val="000C2F05"/>
    <w:rsid w:val="000C45E1"/>
    <w:rsid w:val="000C5F3C"/>
    <w:rsid w:val="000C6DCC"/>
    <w:rsid w:val="000D113D"/>
    <w:rsid w:val="000D3D02"/>
    <w:rsid w:val="000D47AA"/>
    <w:rsid w:val="000D721F"/>
    <w:rsid w:val="000E069B"/>
    <w:rsid w:val="000E0B2D"/>
    <w:rsid w:val="000E0E34"/>
    <w:rsid w:val="000E0E82"/>
    <w:rsid w:val="000E14D4"/>
    <w:rsid w:val="000E1DC5"/>
    <w:rsid w:val="000E223F"/>
    <w:rsid w:val="000E3F8C"/>
    <w:rsid w:val="000E6D96"/>
    <w:rsid w:val="000E7D45"/>
    <w:rsid w:val="000E7E75"/>
    <w:rsid w:val="000F00EF"/>
    <w:rsid w:val="000F248E"/>
    <w:rsid w:val="000F5B3E"/>
    <w:rsid w:val="000F5E47"/>
    <w:rsid w:val="000F6015"/>
    <w:rsid w:val="000F764D"/>
    <w:rsid w:val="000F7851"/>
    <w:rsid w:val="00103E8E"/>
    <w:rsid w:val="00104E23"/>
    <w:rsid w:val="00110DD3"/>
    <w:rsid w:val="00111A9F"/>
    <w:rsid w:val="00111B0C"/>
    <w:rsid w:val="0011200D"/>
    <w:rsid w:val="00117E93"/>
    <w:rsid w:val="00120D6C"/>
    <w:rsid w:val="001215CC"/>
    <w:rsid w:val="00121A9A"/>
    <w:rsid w:val="00121BE6"/>
    <w:rsid w:val="00124540"/>
    <w:rsid w:val="001257EC"/>
    <w:rsid w:val="00126B89"/>
    <w:rsid w:val="001327A4"/>
    <w:rsid w:val="00133D33"/>
    <w:rsid w:val="00134D64"/>
    <w:rsid w:val="00135A30"/>
    <w:rsid w:val="0013612C"/>
    <w:rsid w:val="00136CA3"/>
    <w:rsid w:val="001371D0"/>
    <w:rsid w:val="00137FF6"/>
    <w:rsid w:val="001411D1"/>
    <w:rsid w:val="00141650"/>
    <w:rsid w:val="00143840"/>
    <w:rsid w:val="00144E8D"/>
    <w:rsid w:val="00147525"/>
    <w:rsid w:val="00151D8A"/>
    <w:rsid w:val="00151E05"/>
    <w:rsid w:val="00152182"/>
    <w:rsid w:val="001539FB"/>
    <w:rsid w:val="00153AF1"/>
    <w:rsid w:val="0015491E"/>
    <w:rsid w:val="0016006E"/>
    <w:rsid w:val="0016021B"/>
    <w:rsid w:val="0016174F"/>
    <w:rsid w:val="00162A12"/>
    <w:rsid w:val="00162F69"/>
    <w:rsid w:val="00164514"/>
    <w:rsid w:val="00166530"/>
    <w:rsid w:val="0017185A"/>
    <w:rsid w:val="00176177"/>
    <w:rsid w:val="00180354"/>
    <w:rsid w:val="00180606"/>
    <w:rsid w:val="00182B92"/>
    <w:rsid w:val="001832BD"/>
    <w:rsid w:val="00193BE5"/>
    <w:rsid w:val="001943B5"/>
    <w:rsid w:val="00195134"/>
    <w:rsid w:val="001966C9"/>
    <w:rsid w:val="001A0CC1"/>
    <w:rsid w:val="001A145B"/>
    <w:rsid w:val="001A674C"/>
    <w:rsid w:val="001B2A92"/>
    <w:rsid w:val="001B3B24"/>
    <w:rsid w:val="001C0F98"/>
    <w:rsid w:val="001C111F"/>
    <w:rsid w:val="001C2A42"/>
    <w:rsid w:val="001D090E"/>
    <w:rsid w:val="001D395E"/>
    <w:rsid w:val="001D63ED"/>
    <w:rsid w:val="001D6F2C"/>
    <w:rsid w:val="001D7348"/>
    <w:rsid w:val="001E035B"/>
    <w:rsid w:val="001E0961"/>
    <w:rsid w:val="001E192E"/>
    <w:rsid w:val="001E272E"/>
    <w:rsid w:val="001E3EAE"/>
    <w:rsid w:val="001E55F2"/>
    <w:rsid w:val="001E6F32"/>
    <w:rsid w:val="001F2145"/>
    <w:rsid w:val="001F4708"/>
    <w:rsid w:val="001F4E43"/>
    <w:rsid w:val="001F6262"/>
    <w:rsid w:val="001F67B0"/>
    <w:rsid w:val="001F7159"/>
    <w:rsid w:val="001F7B3D"/>
    <w:rsid w:val="00203BFC"/>
    <w:rsid w:val="00205F9F"/>
    <w:rsid w:val="00206283"/>
    <w:rsid w:val="00210338"/>
    <w:rsid w:val="002115FC"/>
    <w:rsid w:val="0021423C"/>
    <w:rsid w:val="00216E6F"/>
    <w:rsid w:val="002204E5"/>
    <w:rsid w:val="002245F7"/>
    <w:rsid w:val="00226772"/>
    <w:rsid w:val="00230A65"/>
    <w:rsid w:val="00230D00"/>
    <w:rsid w:val="00231DF7"/>
    <w:rsid w:val="00231FD1"/>
    <w:rsid w:val="002339E0"/>
    <w:rsid w:val="00233CF8"/>
    <w:rsid w:val="0023575D"/>
    <w:rsid w:val="00237148"/>
    <w:rsid w:val="0023736F"/>
    <w:rsid w:val="00241032"/>
    <w:rsid w:val="0024222D"/>
    <w:rsid w:val="00244B0E"/>
    <w:rsid w:val="00244C06"/>
    <w:rsid w:val="00244F6C"/>
    <w:rsid w:val="002450C6"/>
    <w:rsid w:val="00246468"/>
    <w:rsid w:val="002532C5"/>
    <w:rsid w:val="002566D2"/>
    <w:rsid w:val="00256FB0"/>
    <w:rsid w:val="00257346"/>
    <w:rsid w:val="00257FF9"/>
    <w:rsid w:val="00260C03"/>
    <w:rsid w:val="00261287"/>
    <w:rsid w:val="00261899"/>
    <w:rsid w:val="002640A4"/>
    <w:rsid w:val="002644BF"/>
    <w:rsid w:val="0026540E"/>
    <w:rsid w:val="0027171C"/>
    <w:rsid w:val="002729EF"/>
    <w:rsid w:val="002744C4"/>
    <w:rsid w:val="00275123"/>
    <w:rsid w:val="002764D4"/>
    <w:rsid w:val="00282240"/>
    <w:rsid w:val="00283D78"/>
    <w:rsid w:val="00284236"/>
    <w:rsid w:val="002849B2"/>
    <w:rsid w:val="00286A88"/>
    <w:rsid w:val="00291379"/>
    <w:rsid w:val="00292CD3"/>
    <w:rsid w:val="002948AD"/>
    <w:rsid w:val="00296CED"/>
    <w:rsid w:val="002A01CC"/>
    <w:rsid w:val="002A0F29"/>
    <w:rsid w:val="002A1E8D"/>
    <w:rsid w:val="002A2942"/>
    <w:rsid w:val="002A61B1"/>
    <w:rsid w:val="002A663C"/>
    <w:rsid w:val="002A6659"/>
    <w:rsid w:val="002B0CF2"/>
    <w:rsid w:val="002B444B"/>
    <w:rsid w:val="002B4B42"/>
    <w:rsid w:val="002B5887"/>
    <w:rsid w:val="002C0E27"/>
    <w:rsid w:val="002C15C8"/>
    <w:rsid w:val="002C1F1C"/>
    <w:rsid w:val="002C3040"/>
    <w:rsid w:val="002D022D"/>
    <w:rsid w:val="002D0B7C"/>
    <w:rsid w:val="002D1871"/>
    <w:rsid w:val="002D23B6"/>
    <w:rsid w:val="002D24BB"/>
    <w:rsid w:val="002D6521"/>
    <w:rsid w:val="002E02CB"/>
    <w:rsid w:val="002E22F6"/>
    <w:rsid w:val="002E58CA"/>
    <w:rsid w:val="002E5BF6"/>
    <w:rsid w:val="002E7FEF"/>
    <w:rsid w:val="002F01D0"/>
    <w:rsid w:val="002F094E"/>
    <w:rsid w:val="002F2AF7"/>
    <w:rsid w:val="002F7E1C"/>
    <w:rsid w:val="00301A75"/>
    <w:rsid w:val="0030282F"/>
    <w:rsid w:val="00302F70"/>
    <w:rsid w:val="0030336F"/>
    <w:rsid w:val="0030375E"/>
    <w:rsid w:val="00307541"/>
    <w:rsid w:val="00310392"/>
    <w:rsid w:val="00312A30"/>
    <w:rsid w:val="00320F72"/>
    <w:rsid w:val="0032463E"/>
    <w:rsid w:val="00325ED9"/>
    <w:rsid w:val="00326224"/>
    <w:rsid w:val="00327029"/>
    <w:rsid w:val="003320CA"/>
    <w:rsid w:val="00333674"/>
    <w:rsid w:val="00337EE4"/>
    <w:rsid w:val="00340FFD"/>
    <w:rsid w:val="00341639"/>
    <w:rsid w:val="0034204B"/>
    <w:rsid w:val="00342AED"/>
    <w:rsid w:val="003442E6"/>
    <w:rsid w:val="0034527F"/>
    <w:rsid w:val="003462D8"/>
    <w:rsid w:val="00350630"/>
    <w:rsid w:val="003506B1"/>
    <w:rsid w:val="00354F8C"/>
    <w:rsid w:val="00356AC7"/>
    <w:rsid w:val="003609FA"/>
    <w:rsid w:val="003710C8"/>
    <w:rsid w:val="00373B51"/>
    <w:rsid w:val="003750BE"/>
    <w:rsid w:val="0037745A"/>
    <w:rsid w:val="00377E01"/>
    <w:rsid w:val="00381684"/>
    <w:rsid w:val="00387B9D"/>
    <w:rsid w:val="003906E8"/>
    <w:rsid w:val="0039161B"/>
    <w:rsid w:val="0039364F"/>
    <w:rsid w:val="00394C85"/>
    <w:rsid w:val="00396686"/>
    <w:rsid w:val="0039778E"/>
    <w:rsid w:val="003A152A"/>
    <w:rsid w:val="003B18A9"/>
    <w:rsid w:val="003B2814"/>
    <w:rsid w:val="003B4941"/>
    <w:rsid w:val="003C111B"/>
    <w:rsid w:val="003C2A67"/>
    <w:rsid w:val="003C5714"/>
    <w:rsid w:val="003C6B9F"/>
    <w:rsid w:val="003C6E2A"/>
    <w:rsid w:val="003C71B5"/>
    <w:rsid w:val="003D0299"/>
    <w:rsid w:val="003D15F2"/>
    <w:rsid w:val="003D1F4C"/>
    <w:rsid w:val="003D5572"/>
    <w:rsid w:val="003E00F0"/>
    <w:rsid w:val="003E3C16"/>
    <w:rsid w:val="003E6D80"/>
    <w:rsid w:val="003E713E"/>
    <w:rsid w:val="003E76D6"/>
    <w:rsid w:val="003F019B"/>
    <w:rsid w:val="003F05FA"/>
    <w:rsid w:val="003F244A"/>
    <w:rsid w:val="003F30B8"/>
    <w:rsid w:val="003F48ED"/>
    <w:rsid w:val="003F4C45"/>
    <w:rsid w:val="003F5F7B"/>
    <w:rsid w:val="003F6892"/>
    <w:rsid w:val="003F6C62"/>
    <w:rsid w:val="003F7D64"/>
    <w:rsid w:val="00400B06"/>
    <w:rsid w:val="0040104E"/>
    <w:rsid w:val="00401EB7"/>
    <w:rsid w:val="00404D4E"/>
    <w:rsid w:val="00410698"/>
    <w:rsid w:val="00410A64"/>
    <w:rsid w:val="00411EB6"/>
    <w:rsid w:val="004130A8"/>
    <w:rsid w:val="00413395"/>
    <w:rsid w:val="00413C00"/>
    <w:rsid w:val="00414300"/>
    <w:rsid w:val="004147EA"/>
    <w:rsid w:val="00421C49"/>
    <w:rsid w:val="00425C67"/>
    <w:rsid w:val="00426CAC"/>
    <w:rsid w:val="00427E7A"/>
    <w:rsid w:val="0043261C"/>
    <w:rsid w:val="00434EC4"/>
    <w:rsid w:val="00436C49"/>
    <w:rsid w:val="00445366"/>
    <w:rsid w:val="00447F5B"/>
    <w:rsid w:val="004504E9"/>
    <w:rsid w:val="0045067D"/>
    <w:rsid w:val="00455767"/>
    <w:rsid w:val="00460215"/>
    <w:rsid w:val="004616BB"/>
    <w:rsid w:val="004618D5"/>
    <w:rsid w:val="00461DB0"/>
    <w:rsid w:val="00463926"/>
    <w:rsid w:val="004640B3"/>
    <w:rsid w:val="00464C00"/>
    <w:rsid w:val="00464C9A"/>
    <w:rsid w:val="004679B5"/>
    <w:rsid w:val="00467BF1"/>
    <w:rsid w:val="00470218"/>
    <w:rsid w:val="004741F5"/>
    <w:rsid w:val="00474F3D"/>
    <w:rsid w:val="004765DC"/>
    <w:rsid w:val="00477E3A"/>
    <w:rsid w:val="00481DD9"/>
    <w:rsid w:val="00482374"/>
    <w:rsid w:val="00483E5F"/>
    <w:rsid w:val="00485FF9"/>
    <w:rsid w:val="004907F0"/>
    <w:rsid w:val="0049140B"/>
    <w:rsid w:val="004923A5"/>
    <w:rsid w:val="0049278B"/>
    <w:rsid w:val="004934E4"/>
    <w:rsid w:val="00494A30"/>
    <w:rsid w:val="00494F0D"/>
    <w:rsid w:val="004967DF"/>
    <w:rsid w:val="00496BFB"/>
    <w:rsid w:val="00497654"/>
    <w:rsid w:val="004A15C7"/>
    <w:rsid w:val="004A2512"/>
    <w:rsid w:val="004A4836"/>
    <w:rsid w:val="004A7B57"/>
    <w:rsid w:val="004B013B"/>
    <w:rsid w:val="004B112B"/>
    <w:rsid w:val="004B3CB9"/>
    <w:rsid w:val="004B5194"/>
    <w:rsid w:val="004C01E4"/>
    <w:rsid w:val="004C086C"/>
    <w:rsid w:val="004C1F56"/>
    <w:rsid w:val="004C2489"/>
    <w:rsid w:val="004C27BC"/>
    <w:rsid w:val="004D0C79"/>
    <w:rsid w:val="004D0D62"/>
    <w:rsid w:val="004D15F3"/>
    <w:rsid w:val="004D5311"/>
    <w:rsid w:val="004D5DCC"/>
    <w:rsid w:val="004E0731"/>
    <w:rsid w:val="004E0766"/>
    <w:rsid w:val="004E1DA5"/>
    <w:rsid w:val="004E3585"/>
    <w:rsid w:val="004F10AF"/>
    <w:rsid w:val="004F11A4"/>
    <w:rsid w:val="004F17A4"/>
    <w:rsid w:val="004F2389"/>
    <w:rsid w:val="004F2979"/>
    <w:rsid w:val="004F304D"/>
    <w:rsid w:val="004F61BE"/>
    <w:rsid w:val="004F66B1"/>
    <w:rsid w:val="004F6D61"/>
    <w:rsid w:val="00502B1A"/>
    <w:rsid w:val="00504659"/>
    <w:rsid w:val="0051173A"/>
    <w:rsid w:val="00511776"/>
    <w:rsid w:val="00511C07"/>
    <w:rsid w:val="00515D98"/>
    <w:rsid w:val="005173A6"/>
    <w:rsid w:val="00520BAA"/>
    <w:rsid w:val="00522974"/>
    <w:rsid w:val="00525208"/>
    <w:rsid w:val="005257A5"/>
    <w:rsid w:val="005264C0"/>
    <w:rsid w:val="00526A8A"/>
    <w:rsid w:val="00531DF2"/>
    <w:rsid w:val="005367F1"/>
    <w:rsid w:val="005374DA"/>
    <w:rsid w:val="00541573"/>
    <w:rsid w:val="005442EE"/>
    <w:rsid w:val="00544F7C"/>
    <w:rsid w:val="00547353"/>
    <w:rsid w:val="005474E7"/>
    <w:rsid w:val="005504C2"/>
    <w:rsid w:val="005512A3"/>
    <w:rsid w:val="0055434D"/>
    <w:rsid w:val="005578CE"/>
    <w:rsid w:val="00561467"/>
    <w:rsid w:val="00561E2C"/>
    <w:rsid w:val="00562781"/>
    <w:rsid w:val="005661CF"/>
    <w:rsid w:val="005703DA"/>
    <w:rsid w:val="005717F9"/>
    <w:rsid w:val="0057271C"/>
    <w:rsid w:val="00572845"/>
    <w:rsid w:val="00574C83"/>
    <w:rsid w:val="00576E83"/>
    <w:rsid w:val="0057758D"/>
    <w:rsid w:val="0057763C"/>
    <w:rsid w:val="00581A3F"/>
    <w:rsid w:val="00581FDA"/>
    <w:rsid w:val="00583BCC"/>
    <w:rsid w:val="005840D0"/>
    <w:rsid w:val="00586971"/>
    <w:rsid w:val="00586C83"/>
    <w:rsid w:val="0059029C"/>
    <w:rsid w:val="00591130"/>
    <w:rsid w:val="00592772"/>
    <w:rsid w:val="0059574A"/>
    <w:rsid w:val="00595E14"/>
    <w:rsid w:val="00596468"/>
    <w:rsid w:val="005964AB"/>
    <w:rsid w:val="005A02CB"/>
    <w:rsid w:val="005A1B9B"/>
    <w:rsid w:val="005A6751"/>
    <w:rsid w:val="005B060A"/>
    <w:rsid w:val="005B092E"/>
    <w:rsid w:val="005B152C"/>
    <w:rsid w:val="005B1EE0"/>
    <w:rsid w:val="005B2B24"/>
    <w:rsid w:val="005B4425"/>
    <w:rsid w:val="005B4B94"/>
    <w:rsid w:val="005B7590"/>
    <w:rsid w:val="005B7C16"/>
    <w:rsid w:val="005C1F34"/>
    <w:rsid w:val="005C3EE8"/>
    <w:rsid w:val="005C69E3"/>
    <w:rsid w:val="005C724C"/>
    <w:rsid w:val="005D0F40"/>
    <w:rsid w:val="005D2411"/>
    <w:rsid w:val="005D2A27"/>
    <w:rsid w:val="005D34F9"/>
    <w:rsid w:val="005D4190"/>
    <w:rsid w:val="005D4FE2"/>
    <w:rsid w:val="005D67A3"/>
    <w:rsid w:val="005D72A1"/>
    <w:rsid w:val="005E2988"/>
    <w:rsid w:val="005E3085"/>
    <w:rsid w:val="005E37C6"/>
    <w:rsid w:val="005F0786"/>
    <w:rsid w:val="005F3E50"/>
    <w:rsid w:val="005F51E1"/>
    <w:rsid w:val="005F763C"/>
    <w:rsid w:val="006000DC"/>
    <w:rsid w:val="00602BC3"/>
    <w:rsid w:val="00611C80"/>
    <w:rsid w:val="00612869"/>
    <w:rsid w:val="00615786"/>
    <w:rsid w:val="00620692"/>
    <w:rsid w:val="00620C49"/>
    <w:rsid w:val="006238F5"/>
    <w:rsid w:val="006242CA"/>
    <w:rsid w:val="00626125"/>
    <w:rsid w:val="00626A13"/>
    <w:rsid w:val="00627507"/>
    <w:rsid w:val="00630247"/>
    <w:rsid w:val="00633717"/>
    <w:rsid w:val="006344E1"/>
    <w:rsid w:val="00636D15"/>
    <w:rsid w:val="0064618D"/>
    <w:rsid w:val="0065298D"/>
    <w:rsid w:val="006529BF"/>
    <w:rsid w:val="006540EA"/>
    <w:rsid w:val="006545C4"/>
    <w:rsid w:val="0065487A"/>
    <w:rsid w:val="0065487D"/>
    <w:rsid w:val="00661971"/>
    <w:rsid w:val="00661CE8"/>
    <w:rsid w:val="006623D9"/>
    <w:rsid w:val="0066550C"/>
    <w:rsid w:val="00667B1E"/>
    <w:rsid w:val="00667B26"/>
    <w:rsid w:val="006716F2"/>
    <w:rsid w:val="00671AA6"/>
    <w:rsid w:val="00672640"/>
    <w:rsid w:val="00674828"/>
    <w:rsid w:val="0067665E"/>
    <w:rsid w:val="006767E2"/>
    <w:rsid w:val="00677AB9"/>
    <w:rsid w:val="006810C0"/>
    <w:rsid w:val="006821EA"/>
    <w:rsid w:val="00682BF2"/>
    <w:rsid w:val="006859CE"/>
    <w:rsid w:val="00686460"/>
    <w:rsid w:val="00691270"/>
    <w:rsid w:val="00692E21"/>
    <w:rsid w:val="006934DE"/>
    <w:rsid w:val="00694A2E"/>
    <w:rsid w:val="00694BA8"/>
    <w:rsid w:val="006950EC"/>
    <w:rsid w:val="0069572E"/>
    <w:rsid w:val="006A0012"/>
    <w:rsid w:val="006A002F"/>
    <w:rsid w:val="006A037C"/>
    <w:rsid w:val="006A1DD0"/>
    <w:rsid w:val="006A36F4"/>
    <w:rsid w:val="006A406F"/>
    <w:rsid w:val="006A45D4"/>
    <w:rsid w:val="006A5D3A"/>
    <w:rsid w:val="006A7614"/>
    <w:rsid w:val="006B0DE2"/>
    <w:rsid w:val="006B0EAF"/>
    <w:rsid w:val="006B44F3"/>
    <w:rsid w:val="006B72DD"/>
    <w:rsid w:val="006C1BCB"/>
    <w:rsid w:val="006C23D4"/>
    <w:rsid w:val="006C4108"/>
    <w:rsid w:val="006C5E45"/>
    <w:rsid w:val="006C64BE"/>
    <w:rsid w:val="006C7BB0"/>
    <w:rsid w:val="006D3237"/>
    <w:rsid w:val="006D534A"/>
    <w:rsid w:val="006E00A3"/>
    <w:rsid w:val="006E2937"/>
    <w:rsid w:val="006E2E37"/>
    <w:rsid w:val="006E3CF1"/>
    <w:rsid w:val="006E7E80"/>
    <w:rsid w:val="006F02EB"/>
    <w:rsid w:val="006F3229"/>
    <w:rsid w:val="006F48CA"/>
    <w:rsid w:val="006F64DD"/>
    <w:rsid w:val="006F7756"/>
    <w:rsid w:val="00701159"/>
    <w:rsid w:val="00711B9F"/>
    <w:rsid w:val="00715127"/>
    <w:rsid w:val="00715E8E"/>
    <w:rsid w:val="00722A73"/>
    <w:rsid w:val="00723580"/>
    <w:rsid w:val="00723755"/>
    <w:rsid w:val="00724447"/>
    <w:rsid w:val="00726A8D"/>
    <w:rsid w:val="0073090B"/>
    <w:rsid w:val="00731277"/>
    <w:rsid w:val="0073136C"/>
    <w:rsid w:val="00731F0F"/>
    <w:rsid w:val="00733250"/>
    <w:rsid w:val="00734D1F"/>
    <w:rsid w:val="0073637C"/>
    <w:rsid w:val="007409E5"/>
    <w:rsid w:val="00740E31"/>
    <w:rsid w:val="00741404"/>
    <w:rsid w:val="00742032"/>
    <w:rsid w:val="007449E5"/>
    <w:rsid w:val="00745E52"/>
    <w:rsid w:val="007470D2"/>
    <w:rsid w:val="00747FF0"/>
    <w:rsid w:val="00750302"/>
    <w:rsid w:val="00750D30"/>
    <w:rsid w:val="00751BFD"/>
    <w:rsid w:val="007526A2"/>
    <w:rsid w:val="0075516C"/>
    <w:rsid w:val="0075535B"/>
    <w:rsid w:val="00760DBF"/>
    <w:rsid w:val="00761480"/>
    <w:rsid w:val="0076376B"/>
    <w:rsid w:val="00764229"/>
    <w:rsid w:val="00764D4E"/>
    <w:rsid w:val="0076529C"/>
    <w:rsid w:val="00765A1F"/>
    <w:rsid w:val="00775B6D"/>
    <w:rsid w:val="00776D68"/>
    <w:rsid w:val="007850EE"/>
    <w:rsid w:val="0078586A"/>
    <w:rsid w:val="00785B95"/>
    <w:rsid w:val="00790C5C"/>
    <w:rsid w:val="00790E96"/>
    <w:rsid w:val="00791D87"/>
    <w:rsid w:val="00793366"/>
    <w:rsid w:val="00793C8A"/>
    <w:rsid w:val="00793F1E"/>
    <w:rsid w:val="007952DA"/>
    <w:rsid w:val="00795680"/>
    <w:rsid w:val="007A341E"/>
    <w:rsid w:val="007A716F"/>
    <w:rsid w:val="007B1D8F"/>
    <w:rsid w:val="007B270A"/>
    <w:rsid w:val="007B4B56"/>
    <w:rsid w:val="007B4B62"/>
    <w:rsid w:val="007B6EDE"/>
    <w:rsid w:val="007B7B14"/>
    <w:rsid w:val="007B7D86"/>
    <w:rsid w:val="007C0695"/>
    <w:rsid w:val="007C231F"/>
    <w:rsid w:val="007C419A"/>
    <w:rsid w:val="007C4CC8"/>
    <w:rsid w:val="007C5426"/>
    <w:rsid w:val="007C5798"/>
    <w:rsid w:val="007C7CB4"/>
    <w:rsid w:val="007D0BE0"/>
    <w:rsid w:val="007D4832"/>
    <w:rsid w:val="007E17C9"/>
    <w:rsid w:val="007E21B2"/>
    <w:rsid w:val="007E2C4E"/>
    <w:rsid w:val="007E3ED4"/>
    <w:rsid w:val="007E48C2"/>
    <w:rsid w:val="007E4D68"/>
    <w:rsid w:val="007F1905"/>
    <w:rsid w:val="007F1B42"/>
    <w:rsid w:val="007F4ED4"/>
    <w:rsid w:val="007F77E3"/>
    <w:rsid w:val="00801300"/>
    <w:rsid w:val="00802C64"/>
    <w:rsid w:val="00802FD2"/>
    <w:rsid w:val="00804E2B"/>
    <w:rsid w:val="00805E52"/>
    <w:rsid w:val="008061D0"/>
    <w:rsid w:val="00810B38"/>
    <w:rsid w:val="00812AF8"/>
    <w:rsid w:val="00816BE4"/>
    <w:rsid w:val="0081767F"/>
    <w:rsid w:val="0082008C"/>
    <w:rsid w:val="008204C7"/>
    <w:rsid w:val="00820992"/>
    <w:rsid w:val="00820E9F"/>
    <w:rsid w:val="0082147E"/>
    <w:rsid w:val="00823418"/>
    <w:rsid w:val="00823602"/>
    <w:rsid w:val="008253BA"/>
    <w:rsid w:val="0082540F"/>
    <w:rsid w:val="008255F5"/>
    <w:rsid w:val="008257A7"/>
    <w:rsid w:val="0083014E"/>
    <w:rsid w:val="0083214A"/>
    <w:rsid w:val="00834220"/>
    <w:rsid w:val="00836435"/>
    <w:rsid w:val="0084351A"/>
    <w:rsid w:val="00845723"/>
    <w:rsid w:val="0084776A"/>
    <w:rsid w:val="00851456"/>
    <w:rsid w:val="00851EF9"/>
    <w:rsid w:val="00854B7D"/>
    <w:rsid w:val="00856819"/>
    <w:rsid w:val="008577FD"/>
    <w:rsid w:val="0086090B"/>
    <w:rsid w:val="00860B03"/>
    <w:rsid w:val="0086497A"/>
    <w:rsid w:val="00866256"/>
    <w:rsid w:val="008664AF"/>
    <w:rsid w:val="00870907"/>
    <w:rsid w:val="008713A1"/>
    <w:rsid w:val="008723DD"/>
    <w:rsid w:val="00873EB5"/>
    <w:rsid w:val="00873FEA"/>
    <w:rsid w:val="008745BB"/>
    <w:rsid w:val="008754AB"/>
    <w:rsid w:val="00875AB3"/>
    <w:rsid w:val="00875D9A"/>
    <w:rsid w:val="00877410"/>
    <w:rsid w:val="0088060C"/>
    <w:rsid w:val="00881BED"/>
    <w:rsid w:val="008921F6"/>
    <w:rsid w:val="00892D06"/>
    <w:rsid w:val="00893576"/>
    <w:rsid w:val="00893A96"/>
    <w:rsid w:val="00893E73"/>
    <w:rsid w:val="00895DAA"/>
    <w:rsid w:val="00897AFE"/>
    <w:rsid w:val="008A246F"/>
    <w:rsid w:val="008A6440"/>
    <w:rsid w:val="008A7045"/>
    <w:rsid w:val="008A7F5A"/>
    <w:rsid w:val="008A7F8E"/>
    <w:rsid w:val="008B02DC"/>
    <w:rsid w:val="008B48E6"/>
    <w:rsid w:val="008B57CE"/>
    <w:rsid w:val="008B58EB"/>
    <w:rsid w:val="008C07D5"/>
    <w:rsid w:val="008C26DE"/>
    <w:rsid w:val="008C2C7B"/>
    <w:rsid w:val="008D2225"/>
    <w:rsid w:val="008D4752"/>
    <w:rsid w:val="008D7298"/>
    <w:rsid w:val="008E271C"/>
    <w:rsid w:val="008E418E"/>
    <w:rsid w:val="008E5BC6"/>
    <w:rsid w:val="008E6A25"/>
    <w:rsid w:val="008F5193"/>
    <w:rsid w:val="009013A7"/>
    <w:rsid w:val="009017FB"/>
    <w:rsid w:val="009017FC"/>
    <w:rsid w:val="0090506B"/>
    <w:rsid w:val="009050C9"/>
    <w:rsid w:val="009066FC"/>
    <w:rsid w:val="00910B90"/>
    <w:rsid w:val="00911788"/>
    <w:rsid w:val="009140A3"/>
    <w:rsid w:val="009144A2"/>
    <w:rsid w:val="0091510C"/>
    <w:rsid w:val="00921A8C"/>
    <w:rsid w:val="009259AC"/>
    <w:rsid w:val="009265C4"/>
    <w:rsid w:val="00926AD5"/>
    <w:rsid w:val="00926F38"/>
    <w:rsid w:val="00932BE3"/>
    <w:rsid w:val="00934301"/>
    <w:rsid w:val="00936C2D"/>
    <w:rsid w:val="00936CD1"/>
    <w:rsid w:val="00941747"/>
    <w:rsid w:val="00941EFB"/>
    <w:rsid w:val="00945B3E"/>
    <w:rsid w:val="0094680A"/>
    <w:rsid w:val="00947AFB"/>
    <w:rsid w:val="00951D7D"/>
    <w:rsid w:val="00954FEA"/>
    <w:rsid w:val="00956B7E"/>
    <w:rsid w:val="00962CD3"/>
    <w:rsid w:val="009630C7"/>
    <w:rsid w:val="00964429"/>
    <w:rsid w:val="009653E7"/>
    <w:rsid w:val="009657AE"/>
    <w:rsid w:val="00966459"/>
    <w:rsid w:val="0097206F"/>
    <w:rsid w:val="00972B55"/>
    <w:rsid w:val="009743B7"/>
    <w:rsid w:val="00977FF2"/>
    <w:rsid w:val="00981801"/>
    <w:rsid w:val="0098228B"/>
    <w:rsid w:val="009828DA"/>
    <w:rsid w:val="00985BAB"/>
    <w:rsid w:val="00986AF9"/>
    <w:rsid w:val="009879A8"/>
    <w:rsid w:val="00990AF8"/>
    <w:rsid w:val="009A5A29"/>
    <w:rsid w:val="009B0628"/>
    <w:rsid w:val="009B1B5F"/>
    <w:rsid w:val="009B345B"/>
    <w:rsid w:val="009B5061"/>
    <w:rsid w:val="009B6673"/>
    <w:rsid w:val="009C0390"/>
    <w:rsid w:val="009C191B"/>
    <w:rsid w:val="009C2BD6"/>
    <w:rsid w:val="009C33E8"/>
    <w:rsid w:val="009D1E8D"/>
    <w:rsid w:val="009D30A7"/>
    <w:rsid w:val="009D39C6"/>
    <w:rsid w:val="009E1F32"/>
    <w:rsid w:val="009E25B3"/>
    <w:rsid w:val="009E776C"/>
    <w:rsid w:val="009E7A60"/>
    <w:rsid w:val="009F15EB"/>
    <w:rsid w:val="009F5A18"/>
    <w:rsid w:val="00A00144"/>
    <w:rsid w:val="00A03C54"/>
    <w:rsid w:val="00A05263"/>
    <w:rsid w:val="00A05ABD"/>
    <w:rsid w:val="00A061A8"/>
    <w:rsid w:val="00A1726E"/>
    <w:rsid w:val="00A17939"/>
    <w:rsid w:val="00A204CF"/>
    <w:rsid w:val="00A21EED"/>
    <w:rsid w:val="00A23404"/>
    <w:rsid w:val="00A238E2"/>
    <w:rsid w:val="00A23BD2"/>
    <w:rsid w:val="00A23D49"/>
    <w:rsid w:val="00A26310"/>
    <w:rsid w:val="00A27004"/>
    <w:rsid w:val="00A27600"/>
    <w:rsid w:val="00A30C29"/>
    <w:rsid w:val="00A3496C"/>
    <w:rsid w:val="00A34DD6"/>
    <w:rsid w:val="00A36819"/>
    <w:rsid w:val="00A36989"/>
    <w:rsid w:val="00A36FF3"/>
    <w:rsid w:val="00A43308"/>
    <w:rsid w:val="00A43422"/>
    <w:rsid w:val="00A43628"/>
    <w:rsid w:val="00A4372C"/>
    <w:rsid w:val="00A505F6"/>
    <w:rsid w:val="00A54192"/>
    <w:rsid w:val="00A6035E"/>
    <w:rsid w:val="00A605A8"/>
    <w:rsid w:val="00A6127C"/>
    <w:rsid w:val="00A6144C"/>
    <w:rsid w:val="00A640AD"/>
    <w:rsid w:val="00A66617"/>
    <w:rsid w:val="00A671F8"/>
    <w:rsid w:val="00A673A4"/>
    <w:rsid w:val="00A67531"/>
    <w:rsid w:val="00A67A51"/>
    <w:rsid w:val="00A704A8"/>
    <w:rsid w:val="00A704D8"/>
    <w:rsid w:val="00A70C0A"/>
    <w:rsid w:val="00A724AE"/>
    <w:rsid w:val="00A73329"/>
    <w:rsid w:val="00A74BC1"/>
    <w:rsid w:val="00A75087"/>
    <w:rsid w:val="00A77729"/>
    <w:rsid w:val="00A80CD3"/>
    <w:rsid w:val="00A82359"/>
    <w:rsid w:val="00A865D2"/>
    <w:rsid w:val="00A877B6"/>
    <w:rsid w:val="00A938BE"/>
    <w:rsid w:val="00A94C20"/>
    <w:rsid w:val="00A96F0B"/>
    <w:rsid w:val="00AA227F"/>
    <w:rsid w:val="00AA3BC7"/>
    <w:rsid w:val="00AA6214"/>
    <w:rsid w:val="00AA754A"/>
    <w:rsid w:val="00AB099E"/>
    <w:rsid w:val="00AB4328"/>
    <w:rsid w:val="00AB46C3"/>
    <w:rsid w:val="00AB5C51"/>
    <w:rsid w:val="00AB7BA9"/>
    <w:rsid w:val="00AC0824"/>
    <w:rsid w:val="00AC1EFB"/>
    <w:rsid w:val="00AC32F3"/>
    <w:rsid w:val="00AC4977"/>
    <w:rsid w:val="00AC4EBF"/>
    <w:rsid w:val="00AC589D"/>
    <w:rsid w:val="00AC6E2C"/>
    <w:rsid w:val="00AC71AF"/>
    <w:rsid w:val="00AD3208"/>
    <w:rsid w:val="00AD388B"/>
    <w:rsid w:val="00AD412E"/>
    <w:rsid w:val="00AD6040"/>
    <w:rsid w:val="00AD699C"/>
    <w:rsid w:val="00AE0A2E"/>
    <w:rsid w:val="00AE2113"/>
    <w:rsid w:val="00AE354C"/>
    <w:rsid w:val="00AF34D8"/>
    <w:rsid w:val="00AF4B07"/>
    <w:rsid w:val="00AF5CC8"/>
    <w:rsid w:val="00AF60CE"/>
    <w:rsid w:val="00AF6186"/>
    <w:rsid w:val="00AF632C"/>
    <w:rsid w:val="00AF7A3A"/>
    <w:rsid w:val="00AF7C71"/>
    <w:rsid w:val="00B02824"/>
    <w:rsid w:val="00B02B09"/>
    <w:rsid w:val="00B02C61"/>
    <w:rsid w:val="00B10024"/>
    <w:rsid w:val="00B10CA4"/>
    <w:rsid w:val="00B130B6"/>
    <w:rsid w:val="00B14E8E"/>
    <w:rsid w:val="00B15E0F"/>
    <w:rsid w:val="00B160DB"/>
    <w:rsid w:val="00B167A9"/>
    <w:rsid w:val="00B17927"/>
    <w:rsid w:val="00B20836"/>
    <w:rsid w:val="00B21740"/>
    <w:rsid w:val="00B235BB"/>
    <w:rsid w:val="00B26FC7"/>
    <w:rsid w:val="00B27A44"/>
    <w:rsid w:val="00B27B36"/>
    <w:rsid w:val="00B30BBF"/>
    <w:rsid w:val="00B32958"/>
    <w:rsid w:val="00B33ACD"/>
    <w:rsid w:val="00B33C03"/>
    <w:rsid w:val="00B362B9"/>
    <w:rsid w:val="00B3733D"/>
    <w:rsid w:val="00B41523"/>
    <w:rsid w:val="00B43864"/>
    <w:rsid w:val="00B44E56"/>
    <w:rsid w:val="00B46543"/>
    <w:rsid w:val="00B47D33"/>
    <w:rsid w:val="00B511C4"/>
    <w:rsid w:val="00B52BE0"/>
    <w:rsid w:val="00B5317C"/>
    <w:rsid w:val="00B54133"/>
    <w:rsid w:val="00B55B33"/>
    <w:rsid w:val="00B6397F"/>
    <w:rsid w:val="00B64A7B"/>
    <w:rsid w:val="00B664A0"/>
    <w:rsid w:val="00B701ED"/>
    <w:rsid w:val="00B70677"/>
    <w:rsid w:val="00B770B8"/>
    <w:rsid w:val="00B8086C"/>
    <w:rsid w:val="00B8087D"/>
    <w:rsid w:val="00B83BA4"/>
    <w:rsid w:val="00B84571"/>
    <w:rsid w:val="00B861B4"/>
    <w:rsid w:val="00B86864"/>
    <w:rsid w:val="00B86DFE"/>
    <w:rsid w:val="00B90990"/>
    <w:rsid w:val="00B91082"/>
    <w:rsid w:val="00B922FF"/>
    <w:rsid w:val="00B9281E"/>
    <w:rsid w:val="00B92959"/>
    <w:rsid w:val="00B93925"/>
    <w:rsid w:val="00B93ECF"/>
    <w:rsid w:val="00B95187"/>
    <w:rsid w:val="00B96F93"/>
    <w:rsid w:val="00B9776F"/>
    <w:rsid w:val="00BA0076"/>
    <w:rsid w:val="00BA2D55"/>
    <w:rsid w:val="00BA6E5C"/>
    <w:rsid w:val="00BA71B1"/>
    <w:rsid w:val="00BB0637"/>
    <w:rsid w:val="00BB0C78"/>
    <w:rsid w:val="00BB33A5"/>
    <w:rsid w:val="00BB345F"/>
    <w:rsid w:val="00BB68EA"/>
    <w:rsid w:val="00BB7265"/>
    <w:rsid w:val="00BC1C27"/>
    <w:rsid w:val="00BC4A8F"/>
    <w:rsid w:val="00BC6BBF"/>
    <w:rsid w:val="00BC747E"/>
    <w:rsid w:val="00BD1572"/>
    <w:rsid w:val="00BD4A91"/>
    <w:rsid w:val="00BE14E3"/>
    <w:rsid w:val="00BE3774"/>
    <w:rsid w:val="00BE41E5"/>
    <w:rsid w:val="00BE4B0C"/>
    <w:rsid w:val="00BF0E12"/>
    <w:rsid w:val="00BF4109"/>
    <w:rsid w:val="00BF4CC3"/>
    <w:rsid w:val="00BF5E81"/>
    <w:rsid w:val="00C054C7"/>
    <w:rsid w:val="00C057B5"/>
    <w:rsid w:val="00C06E15"/>
    <w:rsid w:val="00C10015"/>
    <w:rsid w:val="00C10289"/>
    <w:rsid w:val="00C1262B"/>
    <w:rsid w:val="00C14DEC"/>
    <w:rsid w:val="00C171DE"/>
    <w:rsid w:val="00C17681"/>
    <w:rsid w:val="00C22687"/>
    <w:rsid w:val="00C268E8"/>
    <w:rsid w:val="00C26F2D"/>
    <w:rsid w:val="00C32E4D"/>
    <w:rsid w:val="00C333A0"/>
    <w:rsid w:val="00C33F48"/>
    <w:rsid w:val="00C3448E"/>
    <w:rsid w:val="00C36408"/>
    <w:rsid w:val="00C36A81"/>
    <w:rsid w:val="00C378ED"/>
    <w:rsid w:val="00C41974"/>
    <w:rsid w:val="00C4390F"/>
    <w:rsid w:val="00C508D0"/>
    <w:rsid w:val="00C51887"/>
    <w:rsid w:val="00C53F4A"/>
    <w:rsid w:val="00C54125"/>
    <w:rsid w:val="00C55984"/>
    <w:rsid w:val="00C55B54"/>
    <w:rsid w:val="00C6098E"/>
    <w:rsid w:val="00C60EBC"/>
    <w:rsid w:val="00C611D8"/>
    <w:rsid w:val="00C6152C"/>
    <w:rsid w:val="00C62ED5"/>
    <w:rsid w:val="00C63406"/>
    <w:rsid w:val="00C63990"/>
    <w:rsid w:val="00C63F96"/>
    <w:rsid w:val="00C6471C"/>
    <w:rsid w:val="00C64EF6"/>
    <w:rsid w:val="00C65050"/>
    <w:rsid w:val="00C71E23"/>
    <w:rsid w:val="00C7243A"/>
    <w:rsid w:val="00C73936"/>
    <w:rsid w:val="00C74810"/>
    <w:rsid w:val="00C90689"/>
    <w:rsid w:val="00C90D68"/>
    <w:rsid w:val="00C92B5D"/>
    <w:rsid w:val="00C939FE"/>
    <w:rsid w:val="00C95C01"/>
    <w:rsid w:val="00CA0C71"/>
    <w:rsid w:val="00CA1329"/>
    <w:rsid w:val="00CA20E8"/>
    <w:rsid w:val="00CA2D14"/>
    <w:rsid w:val="00CA4BDA"/>
    <w:rsid w:val="00CA5B51"/>
    <w:rsid w:val="00CB1292"/>
    <w:rsid w:val="00CB1F66"/>
    <w:rsid w:val="00CB2951"/>
    <w:rsid w:val="00CB49E2"/>
    <w:rsid w:val="00CB529E"/>
    <w:rsid w:val="00CB5BA3"/>
    <w:rsid w:val="00CC3C0B"/>
    <w:rsid w:val="00CC3FE5"/>
    <w:rsid w:val="00CC41DF"/>
    <w:rsid w:val="00CC4DB5"/>
    <w:rsid w:val="00CC58EC"/>
    <w:rsid w:val="00CC5F5C"/>
    <w:rsid w:val="00CC71E6"/>
    <w:rsid w:val="00CC7EDA"/>
    <w:rsid w:val="00CD11ED"/>
    <w:rsid w:val="00CD1556"/>
    <w:rsid w:val="00CD23BC"/>
    <w:rsid w:val="00CD282B"/>
    <w:rsid w:val="00CD2FA5"/>
    <w:rsid w:val="00CD4C35"/>
    <w:rsid w:val="00CD5482"/>
    <w:rsid w:val="00CD596B"/>
    <w:rsid w:val="00CD607D"/>
    <w:rsid w:val="00CD7369"/>
    <w:rsid w:val="00CD7784"/>
    <w:rsid w:val="00CE0275"/>
    <w:rsid w:val="00CE0B0E"/>
    <w:rsid w:val="00CE2710"/>
    <w:rsid w:val="00CE3831"/>
    <w:rsid w:val="00CE431A"/>
    <w:rsid w:val="00CE4407"/>
    <w:rsid w:val="00CE56C3"/>
    <w:rsid w:val="00CF2C9E"/>
    <w:rsid w:val="00CF32CA"/>
    <w:rsid w:val="00CF5E30"/>
    <w:rsid w:val="00CF7C0A"/>
    <w:rsid w:val="00D00ABB"/>
    <w:rsid w:val="00D02EEC"/>
    <w:rsid w:val="00D03551"/>
    <w:rsid w:val="00D06A63"/>
    <w:rsid w:val="00D07E0E"/>
    <w:rsid w:val="00D100FC"/>
    <w:rsid w:val="00D11478"/>
    <w:rsid w:val="00D1208A"/>
    <w:rsid w:val="00D12DFC"/>
    <w:rsid w:val="00D15ED0"/>
    <w:rsid w:val="00D21B3E"/>
    <w:rsid w:val="00D21FED"/>
    <w:rsid w:val="00D2243F"/>
    <w:rsid w:val="00D23389"/>
    <w:rsid w:val="00D24251"/>
    <w:rsid w:val="00D250D7"/>
    <w:rsid w:val="00D313DA"/>
    <w:rsid w:val="00D31909"/>
    <w:rsid w:val="00D32A84"/>
    <w:rsid w:val="00D343E2"/>
    <w:rsid w:val="00D3602A"/>
    <w:rsid w:val="00D361A2"/>
    <w:rsid w:val="00D36F61"/>
    <w:rsid w:val="00D37C1F"/>
    <w:rsid w:val="00D42149"/>
    <w:rsid w:val="00D42AFF"/>
    <w:rsid w:val="00D44C2E"/>
    <w:rsid w:val="00D45414"/>
    <w:rsid w:val="00D566BD"/>
    <w:rsid w:val="00D56CA3"/>
    <w:rsid w:val="00D56F6F"/>
    <w:rsid w:val="00D576CF"/>
    <w:rsid w:val="00D57A4D"/>
    <w:rsid w:val="00D60AA7"/>
    <w:rsid w:val="00D60F64"/>
    <w:rsid w:val="00D628B0"/>
    <w:rsid w:val="00D62ADB"/>
    <w:rsid w:val="00D6435F"/>
    <w:rsid w:val="00D71F7D"/>
    <w:rsid w:val="00D7321A"/>
    <w:rsid w:val="00D75E28"/>
    <w:rsid w:val="00D772C2"/>
    <w:rsid w:val="00D8008E"/>
    <w:rsid w:val="00D8271F"/>
    <w:rsid w:val="00D8299A"/>
    <w:rsid w:val="00D82C45"/>
    <w:rsid w:val="00D908A8"/>
    <w:rsid w:val="00D937EF"/>
    <w:rsid w:val="00D977B6"/>
    <w:rsid w:val="00DA4A31"/>
    <w:rsid w:val="00DA5639"/>
    <w:rsid w:val="00DA5A53"/>
    <w:rsid w:val="00DA7B04"/>
    <w:rsid w:val="00DB3242"/>
    <w:rsid w:val="00DB36C2"/>
    <w:rsid w:val="00DC0C9E"/>
    <w:rsid w:val="00DC169B"/>
    <w:rsid w:val="00DC2AB9"/>
    <w:rsid w:val="00DC3D20"/>
    <w:rsid w:val="00DC63F0"/>
    <w:rsid w:val="00DD4AAB"/>
    <w:rsid w:val="00DD50E5"/>
    <w:rsid w:val="00DD5146"/>
    <w:rsid w:val="00DD6BB6"/>
    <w:rsid w:val="00DD6EE5"/>
    <w:rsid w:val="00DE26E4"/>
    <w:rsid w:val="00DE386C"/>
    <w:rsid w:val="00DE3DDA"/>
    <w:rsid w:val="00DE4D35"/>
    <w:rsid w:val="00DE59D4"/>
    <w:rsid w:val="00DE67FD"/>
    <w:rsid w:val="00DF098B"/>
    <w:rsid w:val="00DF11C4"/>
    <w:rsid w:val="00DF210C"/>
    <w:rsid w:val="00DF3A80"/>
    <w:rsid w:val="00DF4B6A"/>
    <w:rsid w:val="00DF727E"/>
    <w:rsid w:val="00DF77A4"/>
    <w:rsid w:val="00E01517"/>
    <w:rsid w:val="00E01A3F"/>
    <w:rsid w:val="00E01E65"/>
    <w:rsid w:val="00E02047"/>
    <w:rsid w:val="00E02C09"/>
    <w:rsid w:val="00E037DE"/>
    <w:rsid w:val="00E04174"/>
    <w:rsid w:val="00E04D59"/>
    <w:rsid w:val="00E07DA1"/>
    <w:rsid w:val="00E12369"/>
    <w:rsid w:val="00E123CB"/>
    <w:rsid w:val="00E20E13"/>
    <w:rsid w:val="00E2112A"/>
    <w:rsid w:val="00E21DBC"/>
    <w:rsid w:val="00E22881"/>
    <w:rsid w:val="00E251A2"/>
    <w:rsid w:val="00E275D7"/>
    <w:rsid w:val="00E27DBE"/>
    <w:rsid w:val="00E3150A"/>
    <w:rsid w:val="00E32AB1"/>
    <w:rsid w:val="00E353CA"/>
    <w:rsid w:val="00E36C71"/>
    <w:rsid w:val="00E40404"/>
    <w:rsid w:val="00E40595"/>
    <w:rsid w:val="00E42D9F"/>
    <w:rsid w:val="00E43F03"/>
    <w:rsid w:val="00E4529A"/>
    <w:rsid w:val="00E459C6"/>
    <w:rsid w:val="00E47589"/>
    <w:rsid w:val="00E53475"/>
    <w:rsid w:val="00E53A3D"/>
    <w:rsid w:val="00E56C07"/>
    <w:rsid w:val="00E63D16"/>
    <w:rsid w:val="00E6417F"/>
    <w:rsid w:val="00E645DA"/>
    <w:rsid w:val="00E64915"/>
    <w:rsid w:val="00E65593"/>
    <w:rsid w:val="00E661D4"/>
    <w:rsid w:val="00E70091"/>
    <w:rsid w:val="00E70C52"/>
    <w:rsid w:val="00E71320"/>
    <w:rsid w:val="00E720F5"/>
    <w:rsid w:val="00E76D47"/>
    <w:rsid w:val="00E77CB3"/>
    <w:rsid w:val="00E77E51"/>
    <w:rsid w:val="00E849F7"/>
    <w:rsid w:val="00E90302"/>
    <w:rsid w:val="00E955EF"/>
    <w:rsid w:val="00E97396"/>
    <w:rsid w:val="00EA185E"/>
    <w:rsid w:val="00EA592A"/>
    <w:rsid w:val="00EB14E4"/>
    <w:rsid w:val="00EB32A5"/>
    <w:rsid w:val="00EB34ED"/>
    <w:rsid w:val="00EB3BA9"/>
    <w:rsid w:val="00EB518F"/>
    <w:rsid w:val="00EB7783"/>
    <w:rsid w:val="00EB7BE0"/>
    <w:rsid w:val="00EB7E63"/>
    <w:rsid w:val="00EC315E"/>
    <w:rsid w:val="00EC3EB2"/>
    <w:rsid w:val="00EC5E75"/>
    <w:rsid w:val="00EC673C"/>
    <w:rsid w:val="00ED077C"/>
    <w:rsid w:val="00ED1190"/>
    <w:rsid w:val="00ED1595"/>
    <w:rsid w:val="00ED50CB"/>
    <w:rsid w:val="00ED5520"/>
    <w:rsid w:val="00ED6544"/>
    <w:rsid w:val="00EE0277"/>
    <w:rsid w:val="00EE09BC"/>
    <w:rsid w:val="00EE33ED"/>
    <w:rsid w:val="00EE3A23"/>
    <w:rsid w:val="00EE3E00"/>
    <w:rsid w:val="00EE5DD2"/>
    <w:rsid w:val="00EE6B21"/>
    <w:rsid w:val="00EF0A2E"/>
    <w:rsid w:val="00EF2281"/>
    <w:rsid w:val="00EF63C2"/>
    <w:rsid w:val="00EF691E"/>
    <w:rsid w:val="00F00A79"/>
    <w:rsid w:val="00F00E86"/>
    <w:rsid w:val="00F01C64"/>
    <w:rsid w:val="00F02598"/>
    <w:rsid w:val="00F07B7E"/>
    <w:rsid w:val="00F07C1E"/>
    <w:rsid w:val="00F105DB"/>
    <w:rsid w:val="00F1141D"/>
    <w:rsid w:val="00F132BC"/>
    <w:rsid w:val="00F132CD"/>
    <w:rsid w:val="00F13310"/>
    <w:rsid w:val="00F13D80"/>
    <w:rsid w:val="00F16AAA"/>
    <w:rsid w:val="00F21161"/>
    <w:rsid w:val="00F21629"/>
    <w:rsid w:val="00F218EF"/>
    <w:rsid w:val="00F21BC7"/>
    <w:rsid w:val="00F266A2"/>
    <w:rsid w:val="00F32269"/>
    <w:rsid w:val="00F41518"/>
    <w:rsid w:val="00F4412A"/>
    <w:rsid w:val="00F56A6F"/>
    <w:rsid w:val="00F5709C"/>
    <w:rsid w:val="00F576F8"/>
    <w:rsid w:val="00F601FF"/>
    <w:rsid w:val="00F61974"/>
    <w:rsid w:val="00F64922"/>
    <w:rsid w:val="00F64EF1"/>
    <w:rsid w:val="00F665BD"/>
    <w:rsid w:val="00F67318"/>
    <w:rsid w:val="00F76D9C"/>
    <w:rsid w:val="00F87586"/>
    <w:rsid w:val="00F8765F"/>
    <w:rsid w:val="00F90767"/>
    <w:rsid w:val="00F91475"/>
    <w:rsid w:val="00F94652"/>
    <w:rsid w:val="00F949F0"/>
    <w:rsid w:val="00F95E51"/>
    <w:rsid w:val="00FA096A"/>
    <w:rsid w:val="00FA1A60"/>
    <w:rsid w:val="00FA36D0"/>
    <w:rsid w:val="00FA475C"/>
    <w:rsid w:val="00FA579F"/>
    <w:rsid w:val="00FA685B"/>
    <w:rsid w:val="00FB0C01"/>
    <w:rsid w:val="00FB1035"/>
    <w:rsid w:val="00FB26C6"/>
    <w:rsid w:val="00FB2992"/>
    <w:rsid w:val="00FB2B45"/>
    <w:rsid w:val="00FB42F4"/>
    <w:rsid w:val="00FB58E0"/>
    <w:rsid w:val="00FC18F2"/>
    <w:rsid w:val="00FC2DA9"/>
    <w:rsid w:val="00FC39E5"/>
    <w:rsid w:val="00FC3A78"/>
    <w:rsid w:val="00FD1005"/>
    <w:rsid w:val="00FD25AF"/>
    <w:rsid w:val="00FD367C"/>
    <w:rsid w:val="00FD6C75"/>
    <w:rsid w:val="00FE71B3"/>
    <w:rsid w:val="00FF245F"/>
    <w:rsid w:val="00FF42C5"/>
    <w:rsid w:val="00FF68BA"/>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4618D5"/>
    <w:pPr>
      <w:jc w:val="both"/>
    </w:pPr>
    <w:rPr>
      <w:rFonts w:eastAsiaTheme="minorEastAsia"/>
      <w:sz w:val="24"/>
    </w:rPr>
  </w:style>
  <w:style w:type="paragraph" w:styleId="Titolo1">
    <w:name w:val="heading 1"/>
    <w:basedOn w:val="Normale"/>
    <w:next w:val="Normale"/>
    <w:link w:val="Titolo1Carattere"/>
    <w:uiPriority w:val="99"/>
    <w:semiHidden/>
    <w:rsid w:val="00C63F9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C63F9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C63F9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C63F9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C63F9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C63F9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C63F9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C63F9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C63F9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63F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F96"/>
    <w:rPr>
      <w:rFonts w:ascii="Tahoma" w:eastAsiaTheme="minorEastAsia" w:hAnsi="Tahoma" w:cs="Tahoma"/>
      <w:sz w:val="16"/>
      <w:szCs w:val="16"/>
    </w:rPr>
  </w:style>
  <w:style w:type="character" w:styleId="Titolodellibro">
    <w:name w:val="Book Title"/>
    <w:uiPriority w:val="99"/>
    <w:semiHidden/>
    <w:qFormat/>
    <w:rsid w:val="00C63F96"/>
    <w:rPr>
      <w:i/>
      <w:iCs/>
      <w:smallCaps/>
      <w:spacing w:val="5"/>
    </w:rPr>
  </w:style>
  <w:style w:type="paragraph" w:customStyle="1" w:styleId="ECHRHeader">
    <w:name w:val="ECHR_Header"/>
    <w:aliases w:val="Ju_Header"/>
    <w:basedOn w:val="Intestazione"/>
    <w:uiPriority w:val="4"/>
    <w:qFormat/>
    <w:rsid w:val="00C63F9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C63F96"/>
    <w:pPr>
      <w:jc w:val="left"/>
    </w:pPr>
    <w:rPr>
      <w:sz w:val="8"/>
    </w:rPr>
  </w:style>
  <w:style w:type="character" w:styleId="Enfasigrassetto">
    <w:name w:val="Strong"/>
    <w:uiPriority w:val="99"/>
    <w:semiHidden/>
    <w:qFormat/>
    <w:rsid w:val="00C63F96"/>
    <w:rPr>
      <w:b/>
      <w:bCs/>
    </w:rPr>
  </w:style>
  <w:style w:type="paragraph" w:styleId="Nessunaspaziatura">
    <w:name w:val="No Spacing"/>
    <w:basedOn w:val="Normale"/>
    <w:link w:val="NessunaspaziaturaCarattere"/>
    <w:semiHidden/>
    <w:qFormat/>
    <w:rsid w:val="00C63F96"/>
    <w:rPr>
      <w:sz w:val="22"/>
    </w:rPr>
  </w:style>
  <w:style w:type="character" w:customStyle="1" w:styleId="NessunaspaziaturaCarattere">
    <w:name w:val="Nessuna spaziatura Carattere"/>
    <w:basedOn w:val="Carpredefinitoparagrafo"/>
    <w:link w:val="Nessunaspaziatura"/>
    <w:semiHidden/>
    <w:rsid w:val="00C63F96"/>
    <w:rPr>
      <w:rFonts w:eastAsiaTheme="minorEastAsia"/>
    </w:rPr>
  </w:style>
  <w:style w:type="paragraph" w:customStyle="1" w:styleId="ECHRFooterLine">
    <w:name w:val="ECHR_Footer_Line"/>
    <w:aliases w:val="Footer_Line"/>
    <w:basedOn w:val="Normale"/>
    <w:next w:val="ECHRFooter"/>
    <w:uiPriority w:val="57"/>
    <w:semiHidden/>
    <w:rsid w:val="00C63F9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rsid w:val="00C63F96"/>
    <w:pPr>
      <w:numPr>
        <w:numId w:val="14"/>
      </w:numPr>
      <w:jc w:val="left"/>
    </w:pPr>
    <w:rPr>
      <w:b/>
    </w:rPr>
  </w:style>
  <w:style w:type="paragraph" w:customStyle="1" w:styleId="OpiPara">
    <w:name w:val="Opi_Para"/>
    <w:basedOn w:val="ECHRPara"/>
    <w:uiPriority w:val="46"/>
    <w:qFormat/>
    <w:rsid w:val="00C63F96"/>
  </w:style>
  <w:style w:type="paragraph" w:customStyle="1" w:styleId="JuParaSub">
    <w:name w:val="Ju_Para_Sub"/>
    <w:basedOn w:val="ECHRPara"/>
    <w:uiPriority w:val="13"/>
    <w:qFormat/>
    <w:rsid w:val="00C63F96"/>
    <w:pPr>
      <w:ind w:left="284"/>
    </w:pPr>
  </w:style>
  <w:style w:type="paragraph" w:customStyle="1" w:styleId="ECHRTitleCentre3">
    <w:name w:val="ECHR_Title_Centre_3"/>
    <w:aliases w:val="Ju_H_Article"/>
    <w:basedOn w:val="Normale"/>
    <w:next w:val="ECHRParaQuote"/>
    <w:uiPriority w:val="27"/>
    <w:qFormat/>
    <w:rsid w:val="00C63F9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C63F9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C63F96"/>
  </w:style>
  <w:style w:type="paragraph" w:customStyle="1" w:styleId="OpiQuot">
    <w:name w:val="Opi_Quot"/>
    <w:basedOn w:val="ECHRParaQuote"/>
    <w:uiPriority w:val="48"/>
    <w:qFormat/>
    <w:rsid w:val="00C63F96"/>
  </w:style>
  <w:style w:type="paragraph" w:customStyle="1" w:styleId="OpiQuotSub">
    <w:name w:val="Opi_Quot_Sub"/>
    <w:basedOn w:val="JuQuotSub"/>
    <w:uiPriority w:val="49"/>
    <w:qFormat/>
    <w:rsid w:val="00C63F96"/>
  </w:style>
  <w:style w:type="paragraph" w:customStyle="1" w:styleId="ECHRTitleCentre2">
    <w:name w:val="ECHR_Title_Centre_2"/>
    <w:aliases w:val="Dec_H_Case"/>
    <w:basedOn w:val="Normale"/>
    <w:next w:val="ECHRPara"/>
    <w:uiPriority w:val="8"/>
    <w:rsid w:val="00C63F96"/>
    <w:pPr>
      <w:spacing w:after="240"/>
      <w:jc w:val="center"/>
      <w:outlineLvl w:val="0"/>
    </w:pPr>
    <w:rPr>
      <w:rFonts w:asciiTheme="majorHAnsi" w:hAnsiTheme="majorHAnsi"/>
    </w:rPr>
  </w:style>
  <w:style w:type="paragraph" w:customStyle="1" w:styleId="JuTitle">
    <w:name w:val="Ju_Title"/>
    <w:basedOn w:val="Normale"/>
    <w:next w:val="ECHRPara"/>
    <w:uiPriority w:val="3"/>
    <w:rsid w:val="00C63F96"/>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C63F9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C63F9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C63F9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C63F9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C63F9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C63F9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C63F96"/>
    <w:pPr>
      <w:keepNext/>
      <w:keepLines/>
      <w:spacing w:before="240" w:after="120"/>
      <w:ind w:left="1236"/>
    </w:pPr>
    <w:rPr>
      <w:sz w:val="20"/>
    </w:rPr>
  </w:style>
  <w:style w:type="paragraph" w:customStyle="1" w:styleId="JuQuotSub">
    <w:name w:val="Ju_Quot_Sub"/>
    <w:basedOn w:val="ECHRParaQuote"/>
    <w:uiPriority w:val="15"/>
    <w:qFormat/>
    <w:rsid w:val="00C63F96"/>
    <w:pPr>
      <w:ind w:left="567"/>
    </w:pPr>
  </w:style>
  <w:style w:type="paragraph" w:customStyle="1" w:styleId="JuInitialled">
    <w:name w:val="Ju_Initialled"/>
    <w:basedOn w:val="Normale"/>
    <w:uiPriority w:val="31"/>
    <w:qFormat/>
    <w:rsid w:val="00C63F96"/>
    <w:pPr>
      <w:tabs>
        <w:tab w:val="center" w:pos="6407"/>
      </w:tabs>
      <w:spacing w:before="720"/>
      <w:jc w:val="right"/>
    </w:pPr>
  </w:style>
  <w:style w:type="paragraph" w:customStyle="1" w:styleId="OpiHA">
    <w:name w:val="Opi_H_A"/>
    <w:basedOn w:val="ECHRHeading1"/>
    <w:next w:val="OpiPara"/>
    <w:uiPriority w:val="41"/>
    <w:qFormat/>
    <w:rsid w:val="00C63F96"/>
    <w:pPr>
      <w:tabs>
        <w:tab w:val="clear" w:pos="357"/>
      </w:tabs>
      <w:outlineLvl w:val="1"/>
    </w:pPr>
    <w:rPr>
      <w:b/>
    </w:rPr>
  </w:style>
  <w:style w:type="paragraph" w:styleId="Intestazione">
    <w:name w:val="header"/>
    <w:basedOn w:val="Normale"/>
    <w:link w:val="IntestazioneCarattere"/>
    <w:uiPriority w:val="57"/>
    <w:semiHidden/>
    <w:rsid w:val="00C63F9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C63F96"/>
    <w:rPr>
      <w:sz w:val="24"/>
    </w:rPr>
  </w:style>
  <w:style w:type="character" w:customStyle="1" w:styleId="Titolo1Carattere">
    <w:name w:val="Titolo 1 Carattere"/>
    <w:basedOn w:val="Carpredefinitoparagrafo"/>
    <w:link w:val="Titolo1"/>
    <w:uiPriority w:val="99"/>
    <w:semiHidden/>
    <w:rsid w:val="00C63F9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C63F9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C63F9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C63F96"/>
    <w:rPr>
      <w:rFonts w:asciiTheme="majorHAnsi" w:eastAsiaTheme="majorEastAsia" w:hAnsiTheme="majorHAnsi" w:cstheme="majorBidi"/>
      <w:b/>
      <w:bCs/>
      <w:color w:val="4D4D4D"/>
      <w:sz w:val="26"/>
      <w:szCs w:val="26"/>
    </w:rPr>
  </w:style>
  <w:style w:type="character" w:customStyle="1" w:styleId="JUNAMES">
    <w:name w:val="JU_NAMES"/>
    <w:uiPriority w:val="17"/>
    <w:qFormat/>
    <w:rsid w:val="00C63F96"/>
    <w:rPr>
      <w:caps w:val="0"/>
      <w:smallCaps/>
    </w:rPr>
  </w:style>
  <w:style w:type="paragraph" w:customStyle="1" w:styleId="ECHRDecisionBody">
    <w:name w:val="ECHR_Decision_Body"/>
    <w:aliases w:val="Ju_Judges"/>
    <w:basedOn w:val="Normale"/>
    <w:uiPriority w:val="11"/>
    <w:qFormat/>
    <w:rsid w:val="00C63F96"/>
    <w:pPr>
      <w:tabs>
        <w:tab w:val="left" w:pos="567"/>
        <w:tab w:val="left" w:pos="1134"/>
      </w:tabs>
      <w:jc w:val="left"/>
    </w:pPr>
  </w:style>
  <w:style w:type="character" w:customStyle="1" w:styleId="Titolo3Carattere">
    <w:name w:val="Titolo 3 Carattere"/>
    <w:basedOn w:val="Carpredefinitoparagrafo"/>
    <w:link w:val="Titolo3"/>
    <w:uiPriority w:val="99"/>
    <w:semiHidden/>
    <w:rsid w:val="00C63F96"/>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C63F96"/>
    <w:pPr>
      <w:ind w:firstLine="284"/>
    </w:pPr>
  </w:style>
  <w:style w:type="character" w:customStyle="1" w:styleId="Titolo4Carattere">
    <w:name w:val="Titolo 4 Carattere"/>
    <w:basedOn w:val="Carpredefinitoparagrafo"/>
    <w:link w:val="Titolo4"/>
    <w:uiPriority w:val="99"/>
    <w:semiHidden/>
    <w:rsid w:val="00C63F96"/>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C63F96"/>
    <w:rPr>
      <w:rFonts w:asciiTheme="majorHAnsi" w:eastAsiaTheme="majorEastAsia" w:hAnsiTheme="majorHAnsi" w:cstheme="majorBidi"/>
      <w:b/>
      <w:bCs/>
      <w:color w:val="808080"/>
    </w:rPr>
  </w:style>
  <w:style w:type="character" w:styleId="Enfasidelicata">
    <w:name w:val="Subtle Emphasis"/>
    <w:uiPriority w:val="99"/>
    <w:semiHidden/>
    <w:qFormat/>
    <w:rsid w:val="00C63F9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C63F96"/>
    <w:pPr>
      <w:keepNext/>
      <w:keepLines/>
      <w:spacing w:before="720" w:after="240"/>
      <w:outlineLvl w:val="0"/>
    </w:pPr>
    <w:rPr>
      <w:rFonts w:asciiTheme="majorHAnsi" w:hAnsiTheme="majorHAnsi"/>
      <w:sz w:val="28"/>
    </w:rPr>
  </w:style>
  <w:style w:type="character" w:styleId="Enfasicorsivo">
    <w:name w:val="Emphasis"/>
    <w:uiPriority w:val="99"/>
    <w:semiHidden/>
    <w:qFormat/>
    <w:rsid w:val="00C63F96"/>
    <w:rPr>
      <w:b/>
      <w:bCs/>
      <w:i/>
      <w:iCs/>
      <w:spacing w:val="10"/>
      <w:bdr w:val="none" w:sz="0" w:space="0" w:color="auto"/>
      <w:shd w:val="clear" w:color="auto" w:fill="auto"/>
    </w:rPr>
  </w:style>
  <w:style w:type="paragraph" w:styleId="Pidipagina">
    <w:name w:val="footer"/>
    <w:basedOn w:val="Normale"/>
    <w:link w:val="PidipaginaCarattere"/>
    <w:uiPriority w:val="57"/>
    <w:semiHidden/>
    <w:rsid w:val="00C63F9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C63F96"/>
    <w:rPr>
      <w:sz w:val="24"/>
    </w:rPr>
  </w:style>
  <w:style w:type="character" w:styleId="Rimandonotaapidipagina">
    <w:name w:val="footnote reference"/>
    <w:basedOn w:val="Carpredefinitoparagrafo"/>
    <w:uiPriority w:val="99"/>
    <w:semiHidden/>
    <w:rsid w:val="00C63F96"/>
    <w:rPr>
      <w:vertAlign w:val="superscript"/>
    </w:rPr>
  </w:style>
  <w:style w:type="paragraph" w:styleId="Testonotaapidipagina">
    <w:name w:val="footnote text"/>
    <w:basedOn w:val="Normale"/>
    <w:link w:val="TestonotaapidipaginaCarattere"/>
    <w:uiPriority w:val="99"/>
    <w:semiHidden/>
    <w:rsid w:val="00C63F96"/>
    <w:rPr>
      <w:sz w:val="20"/>
      <w:szCs w:val="20"/>
    </w:rPr>
  </w:style>
  <w:style w:type="character" w:customStyle="1" w:styleId="TestonotaapidipaginaCarattere">
    <w:name w:val="Testo nota a piè di pagina Carattere"/>
    <w:basedOn w:val="Carpredefinitoparagrafo"/>
    <w:link w:val="Testonotaapidipagina"/>
    <w:uiPriority w:val="99"/>
    <w:semiHidden/>
    <w:rsid w:val="00C63F96"/>
    <w:rPr>
      <w:rFonts w:eastAsiaTheme="minorEastAsia"/>
      <w:sz w:val="20"/>
      <w:szCs w:val="20"/>
    </w:rPr>
  </w:style>
  <w:style w:type="character" w:customStyle="1" w:styleId="Titolo6Carattere">
    <w:name w:val="Titolo 6 Carattere"/>
    <w:basedOn w:val="Carpredefinitoparagrafo"/>
    <w:link w:val="Titolo6"/>
    <w:uiPriority w:val="99"/>
    <w:semiHidden/>
    <w:rsid w:val="00C63F96"/>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C63F9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C63F9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C63F9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C63F96"/>
    <w:rPr>
      <w:color w:val="0072BC" w:themeColor="hyperlink"/>
      <w:u w:val="single"/>
    </w:rPr>
  </w:style>
  <w:style w:type="character" w:styleId="Enfasiintensa">
    <w:name w:val="Intense Emphasis"/>
    <w:uiPriority w:val="99"/>
    <w:semiHidden/>
    <w:qFormat/>
    <w:rsid w:val="00C63F96"/>
    <w:rPr>
      <w:b/>
      <w:bCs/>
    </w:rPr>
  </w:style>
  <w:style w:type="paragraph" w:styleId="Citazioneintensa">
    <w:name w:val="Intense Quote"/>
    <w:basedOn w:val="Normale"/>
    <w:next w:val="Normale"/>
    <w:link w:val="CitazioneintensaCarattere"/>
    <w:uiPriority w:val="99"/>
    <w:semiHidden/>
    <w:qFormat/>
    <w:rsid w:val="00C63F9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C63F96"/>
    <w:rPr>
      <w:rFonts w:eastAsiaTheme="minorEastAsia"/>
      <w:b/>
      <w:bCs/>
      <w:i/>
      <w:iCs/>
      <w:lang w:bidi="en-US"/>
    </w:rPr>
  </w:style>
  <w:style w:type="character" w:styleId="Riferimentointenso">
    <w:name w:val="Intense Reference"/>
    <w:uiPriority w:val="99"/>
    <w:semiHidden/>
    <w:qFormat/>
    <w:rsid w:val="00C63F96"/>
    <w:rPr>
      <w:smallCaps/>
      <w:spacing w:val="5"/>
      <w:u w:val="single"/>
    </w:rPr>
  </w:style>
  <w:style w:type="paragraph" w:styleId="Paragrafoelenco">
    <w:name w:val="List Paragraph"/>
    <w:basedOn w:val="Normale"/>
    <w:uiPriority w:val="99"/>
    <w:semiHidden/>
    <w:qFormat/>
    <w:rsid w:val="00C63F9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C63F9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C63F96"/>
    <w:rPr>
      <w:rFonts w:eastAsiaTheme="minorEastAsia"/>
      <w:i/>
      <w:iCs/>
      <w:lang w:bidi="en-US"/>
    </w:rPr>
  </w:style>
  <w:style w:type="character" w:styleId="Riferimentodelicato">
    <w:name w:val="Subtle Reference"/>
    <w:uiPriority w:val="99"/>
    <w:semiHidden/>
    <w:qFormat/>
    <w:rsid w:val="00C63F96"/>
    <w:rPr>
      <w:smallCaps/>
    </w:rPr>
  </w:style>
  <w:style w:type="table" w:styleId="Grigliatabella">
    <w:name w:val="Table Grid"/>
    <w:basedOn w:val="Tabellanormale"/>
    <w:uiPriority w:val="59"/>
    <w:semiHidden/>
    <w:rsid w:val="00C63F9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C63F96"/>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C63F96"/>
    <w:pPr>
      <w:spacing w:after="60"/>
      <w:ind w:left="680" w:right="340" w:hanging="340"/>
    </w:pPr>
  </w:style>
  <w:style w:type="paragraph" w:styleId="Sommario3">
    <w:name w:val="toc 3"/>
    <w:basedOn w:val="Normale"/>
    <w:next w:val="Normale"/>
    <w:autoRedefine/>
    <w:uiPriority w:val="99"/>
    <w:semiHidden/>
    <w:rsid w:val="00C63F96"/>
    <w:pPr>
      <w:spacing w:after="60"/>
      <w:ind w:left="1020" w:right="340" w:hanging="340"/>
    </w:pPr>
  </w:style>
  <w:style w:type="paragraph" w:styleId="Sommario4">
    <w:name w:val="toc 4"/>
    <w:basedOn w:val="Normale"/>
    <w:next w:val="Normale"/>
    <w:autoRedefine/>
    <w:uiPriority w:val="99"/>
    <w:semiHidden/>
    <w:rsid w:val="00C63F96"/>
    <w:pPr>
      <w:tabs>
        <w:tab w:val="right" w:leader="dot" w:pos="9017"/>
      </w:tabs>
      <w:spacing w:after="60"/>
      <w:ind w:left="1361" w:right="340" w:hanging="340"/>
    </w:pPr>
  </w:style>
  <w:style w:type="paragraph" w:styleId="Sommario5">
    <w:name w:val="toc 5"/>
    <w:basedOn w:val="Normale"/>
    <w:next w:val="Normale"/>
    <w:autoRedefine/>
    <w:uiPriority w:val="99"/>
    <w:semiHidden/>
    <w:rsid w:val="00C63F96"/>
    <w:pPr>
      <w:spacing w:after="60"/>
      <w:ind w:left="1701" w:right="340" w:hanging="340"/>
    </w:pPr>
  </w:style>
  <w:style w:type="paragraph" w:styleId="Titolosommario">
    <w:name w:val="TOC Heading"/>
    <w:basedOn w:val="Titolo1"/>
    <w:next w:val="Normale"/>
    <w:uiPriority w:val="99"/>
    <w:semiHidden/>
    <w:qFormat/>
    <w:rsid w:val="00C63F96"/>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63F9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C63F96"/>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63F9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C63F96"/>
    <w:pPr>
      <w:tabs>
        <w:tab w:val="center" w:pos="851"/>
        <w:tab w:val="center" w:pos="6407"/>
      </w:tabs>
      <w:spacing w:before="720"/>
      <w:jc w:val="left"/>
    </w:pPr>
  </w:style>
  <w:style w:type="paragraph" w:customStyle="1" w:styleId="JuParaLast">
    <w:name w:val="Ju_Para_Last"/>
    <w:basedOn w:val="Normale"/>
    <w:next w:val="ECHRPara"/>
    <w:uiPriority w:val="30"/>
    <w:qFormat/>
    <w:rsid w:val="00C63F96"/>
    <w:pPr>
      <w:keepNext/>
      <w:keepLines/>
      <w:spacing w:before="240"/>
      <w:ind w:firstLine="284"/>
    </w:pPr>
  </w:style>
  <w:style w:type="paragraph" w:customStyle="1" w:styleId="JuCase">
    <w:name w:val="Ju_Case"/>
    <w:basedOn w:val="Normale"/>
    <w:next w:val="ECHRPara"/>
    <w:uiPriority w:val="10"/>
    <w:rsid w:val="00C63F96"/>
    <w:pPr>
      <w:ind w:firstLine="284"/>
    </w:pPr>
    <w:rPr>
      <w:b/>
    </w:rPr>
  </w:style>
  <w:style w:type="paragraph" w:customStyle="1" w:styleId="JuList">
    <w:name w:val="Ju_List"/>
    <w:basedOn w:val="Normale"/>
    <w:uiPriority w:val="28"/>
    <w:qFormat/>
    <w:rsid w:val="00C63F96"/>
    <w:pPr>
      <w:ind w:left="340" w:hanging="340"/>
    </w:pPr>
  </w:style>
  <w:style w:type="character" w:customStyle="1" w:styleId="JuITMark">
    <w:name w:val="Ju_ITMark"/>
    <w:basedOn w:val="Carpredefinitoparagrafo"/>
    <w:uiPriority w:val="38"/>
    <w:qFormat/>
    <w:rsid w:val="00C63F96"/>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C63F96"/>
    <w:pPr>
      <w:ind w:left="346" w:firstLine="0"/>
    </w:pPr>
  </w:style>
  <w:style w:type="paragraph" w:customStyle="1" w:styleId="JuListi">
    <w:name w:val="Ju_List_i"/>
    <w:basedOn w:val="Normale"/>
    <w:next w:val="JuLista"/>
    <w:uiPriority w:val="28"/>
    <w:qFormat/>
    <w:rsid w:val="00C63F96"/>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Translation">
    <w:name w:val="Opi_Translation"/>
    <w:basedOn w:val="Normale"/>
    <w:next w:val="OpiPara"/>
    <w:uiPriority w:val="40"/>
    <w:qFormat/>
    <w:rsid w:val="00C63F96"/>
    <w:pPr>
      <w:jc w:val="center"/>
      <w:outlineLvl w:val="0"/>
    </w:pPr>
    <w:rPr>
      <w:i/>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rsid w:val="00C63F96"/>
  </w:style>
  <w:style w:type="paragraph" w:styleId="Sottotitolo">
    <w:name w:val="Subtitle"/>
    <w:basedOn w:val="Normale"/>
    <w:next w:val="Normale"/>
    <w:link w:val="SottotitoloCarattere"/>
    <w:uiPriority w:val="99"/>
    <w:semiHidden/>
    <w:qFormat/>
    <w:rsid w:val="00C63F9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C63F9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Court">
    <w:name w:val="Ju_Court"/>
    <w:basedOn w:val="Normale"/>
    <w:next w:val="Normale"/>
    <w:uiPriority w:val="16"/>
    <w:qFormat/>
    <w:rsid w:val="00C63F96"/>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rsid w:val="00C63F96"/>
    <w:pPr>
      <w:spacing w:before="240"/>
      <w:ind w:left="284"/>
    </w:pPr>
  </w:style>
  <w:style w:type="paragraph" w:customStyle="1" w:styleId="OpiH1">
    <w:name w:val="Opi_H_1"/>
    <w:basedOn w:val="ECHRHeading2"/>
    <w:uiPriority w:val="42"/>
    <w:qFormat/>
    <w:rsid w:val="00C63F96"/>
    <w:pPr>
      <w:ind w:left="635" w:hanging="357"/>
      <w:outlineLvl w:val="2"/>
    </w:pPr>
  </w:style>
  <w:style w:type="paragraph" w:customStyle="1" w:styleId="OpiHa0">
    <w:name w:val="Opi_H_a"/>
    <w:basedOn w:val="ECHRHeading3"/>
    <w:uiPriority w:val="43"/>
    <w:qFormat/>
    <w:rsid w:val="00C63F96"/>
    <w:pPr>
      <w:ind w:left="833" w:hanging="357"/>
      <w:outlineLvl w:val="3"/>
    </w:pPr>
    <w:rPr>
      <w:b/>
      <w:i w:val="0"/>
      <w:sz w:val="20"/>
    </w:rPr>
  </w:style>
  <w:style w:type="paragraph" w:customStyle="1" w:styleId="OpiHi">
    <w:name w:val="Opi_H_i"/>
    <w:basedOn w:val="ECHRHeading4"/>
    <w:uiPriority w:val="44"/>
    <w:qFormat/>
    <w:rsid w:val="00C63F96"/>
    <w:pPr>
      <w:ind w:left="1037" w:hanging="357"/>
      <w:outlineLvl w:val="4"/>
    </w:pPr>
    <w:rPr>
      <w:b w:val="0"/>
      <w:i/>
    </w:rPr>
  </w:style>
  <w:style w:type="paragraph" w:customStyle="1" w:styleId="DummyStyle">
    <w:name w:val="Dummy_Style"/>
    <w:basedOn w:val="Normale"/>
    <w:semiHidden/>
    <w:qFormat/>
    <w:rsid w:val="00C63F96"/>
    <w:rPr>
      <w:color w:val="00B050"/>
    </w:rPr>
  </w:style>
  <w:style w:type="character" w:customStyle="1" w:styleId="ECHRParaChar">
    <w:name w:val="ECHR_Para Char"/>
    <w:aliases w:val="Ju_Para Char"/>
    <w:basedOn w:val="Carpredefinitoparagrafo"/>
    <w:link w:val="ECHRPara"/>
    <w:uiPriority w:val="12"/>
    <w:rsid w:val="007E4D6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05470">
      <w:bodyDiv w:val="1"/>
      <w:marLeft w:val="0"/>
      <w:marRight w:val="0"/>
      <w:marTop w:val="0"/>
      <w:marBottom w:val="0"/>
      <w:divBdr>
        <w:top w:val="none" w:sz="0" w:space="0" w:color="auto"/>
        <w:left w:val="none" w:sz="0" w:space="0" w:color="auto"/>
        <w:bottom w:val="none" w:sz="0" w:space="0" w:color="auto"/>
        <w:right w:val="none" w:sz="0" w:space="0" w:color="auto"/>
      </w:divBdr>
    </w:div>
    <w:div w:id="1543326863">
      <w:bodyDiv w:val="1"/>
      <w:marLeft w:val="0"/>
      <w:marRight w:val="0"/>
      <w:marTop w:val="0"/>
      <w:marBottom w:val="0"/>
      <w:divBdr>
        <w:top w:val="none" w:sz="0" w:space="0" w:color="auto"/>
        <w:left w:val="none" w:sz="0" w:space="0" w:color="auto"/>
        <w:bottom w:val="none" w:sz="0" w:space="0" w:color="auto"/>
        <w:right w:val="none" w:sz="0" w:space="0" w:color="auto"/>
      </w:divBdr>
      <w:divsChild>
        <w:div w:id="1490828918">
          <w:marLeft w:val="0"/>
          <w:marRight w:val="0"/>
          <w:marTop w:val="0"/>
          <w:marBottom w:val="0"/>
          <w:divBdr>
            <w:top w:val="none" w:sz="0" w:space="0" w:color="auto"/>
            <w:left w:val="none" w:sz="0" w:space="0" w:color="auto"/>
            <w:bottom w:val="none" w:sz="0" w:space="0" w:color="auto"/>
            <w:right w:val="none" w:sz="0" w:space="0" w:color="auto"/>
          </w:divBdr>
          <w:divsChild>
            <w:div w:id="126704248">
              <w:marLeft w:val="0"/>
              <w:marRight w:val="0"/>
              <w:marTop w:val="0"/>
              <w:marBottom w:val="0"/>
              <w:divBdr>
                <w:top w:val="none" w:sz="0" w:space="0" w:color="auto"/>
                <w:left w:val="none" w:sz="0" w:space="0" w:color="auto"/>
                <w:bottom w:val="none" w:sz="0" w:space="0" w:color="auto"/>
                <w:right w:val="none" w:sz="0" w:space="0" w:color="auto"/>
              </w:divBdr>
              <w:divsChild>
                <w:div w:id="941761458">
                  <w:marLeft w:val="0"/>
                  <w:marRight w:val="0"/>
                  <w:marTop w:val="0"/>
                  <w:marBottom w:val="0"/>
                  <w:divBdr>
                    <w:top w:val="none" w:sz="0" w:space="0" w:color="auto"/>
                    <w:left w:val="none" w:sz="0" w:space="0" w:color="auto"/>
                    <w:bottom w:val="none" w:sz="0" w:space="0" w:color="auto"/>
                    <w:right w:val="none" w:sz="0" w:space="0" w:color="auto"/>
                  </w:divBdr>
                  <w:divsChild>
                    <w:div w:id="198591494">
                      <w:marLeft w:val="0"/>
                      <w:marRight w:val="0"/>
                      <w:marTop w:val="0"/>
                      <w:marBottom w:val="0"/>
                      <w:divBdr>
                        <w:top w:val="none" w:sz="0" w:space="0" w:color="auto"/>
                        <w:left w:val="none" w:sz="0" w:space="0" w:color="auto"/>
                        <w:bottom w:val="none" w:sz="0" w:space="0" w:color="auto"/>
                        <w:right w:val="none" w:sz="0" w:space="0" w:color="auto"/>
                      </w:divBdr>
                      <w:divsChild>
                        <w:div w:id="1144545974">
                          <w:marLeft w:val="0"/>
                          <w:marRight w:val="0"/>
                          <w:marTop w:val="0"/>
                          <w:marBottom w:val="0"/>
                          <w:divBdr>
                            <w:top w:val="none" w:sz="0" w:space="0" w:color="auto"/>
                            <w:left w:val="none" w:sz="0" w:space="0" w:color="auto"/>
                            <w:bottom w:val="none" w:sz="0" w:space="0" w:color="auto"/>
                            <w:right w:val="none" w:sz="0" w:space="0" w:color="auto"/>
                          </w:divBdr>
                          <w:divsChild>
                            <w:div w:id="192576252">
                              <w:marLeft w:val="0"/>
                              <w:marRight w:val="0"/>
                              <w:marTop w:val="0"/>
                              <w:marBottom w:val="0"/>
                              <w:divBdr>
                                <w:top w:val="none" w:sz="0" w:space="0" w:color="auto"/>
                                <w:left w:val="none" w:sz="0" w:space="0" w:color="auto"/>
                                <w:bottom w:val="none" w:sz="0" w:space="0" w:color="auto"/>
                                <w:right w:val="none" w:sz="0" w:space="0" w:color="auto"/>
                              </w:divBdr>
                              <w:divsChild>
                                <w:div w:id="1248005681">
                                  <w:marLeft w:val="0"/>
                                  <w:marRight w:val="0"/>
                                  <w:marTop w:val="0"/>
                                  <w:marBottom w:val="0"/>
                                  <w:divBdr>
                                    <w:top w:val="none" w:sz="0" w:space="0" w:color="auto"/>
                                    <w:left w:val="none" w:sz="0" w:space="0" w:color="auto"/>
                                    <w:bottom w:val="none" w:sz="0" w:space="0" w:color="auto"/>
                                    <w:right w:val="none" w:sz="0" w:space="0" w:color="auto"/>
                                  </w:divBdr>
                                  <w:divsChild>
                                    <w:div w:id="215707568">
                                      <w:marLeft w:val="0"/>
                                      <w:marRight w:val="0"/>
                                      <w:marTop w:val="0"/>
                                      <w:marBottom w:val="0"/>
                                      <w:divBdr>
                                        <w:top w:val="none" w:sz="0" w:space="0" w:color="auto"/>
                                        <w:left w:val="none" w:sz="0" w:space="0" w:color="auto"/>
                                        <w:bottom w:val="none" w:sz="0" w:space="0" w:color="auto"/>
                                        <w:right w:val="none" w:sz="0" w:space="0" w:color="auto"/>
                                      </w:divBdr>
                                      <w:divsChild>
                                        <w:div w:id="2102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6811311">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8A11-56BC-420F-8FBB-BA939E4C9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A65887-D4D9-4A26-B0B4-617C0611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1398C-58D4-4B00-99CD-35EAE100CA03}">
  <ds:schemaRefs>
    <ds:schemaRef ds:uri="http://schemas.microsoft.com/sharepoint/v3/contenttype/forms"/>
  </ds:schemaRefs>
</ds:datastoreItem>
</file>

<file path=customXml/itemProps4.xml><?xml version="1.0" encoding="utf-8"?>
<ds:datastoreItem xmlns:ds="http://schemas.openxmlformats.org/officeDocument/2006/customXml" ds:itemID="{83FDE8F8-6F42-4940-A1FA-80606BDC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16120</Words>
  <Characters>91887</Characters>
  <Application>Microsoft Office Word</Application>
  <DocSecurity>0</DocSecurity>
  <Lines>765</Lines>
  <Paragraphs>215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2016-07-07T12:51:00Z</dcterms:created>
  <dcterms:modified xsi:type="dcterms:W3CDTF">2016-07-07T12:51:00Z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